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media/image2.png" ContentType="image/pn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customXml/item1.xml" ContentType="application/xml"/>
  <Override PartName="/customXml/itemProps3.xml" ContentType="application/vnd.openxmlformats-officedocument.customXmlProperties+xml"/>
  <Override PartName="/customXml/itemProps1.xml" ContentType="application/vnd.openxmlformats-officedocument.customXmlProperties+xml"/>
  <Override PartName="/customXml/item2.xml" ContentType="application/xml"/>
  <Override PartName="/customXml/itemProps4.xml" ContentType="application/vnd.openxmlformats-officedocument.customXmlProperties+xml"/>
  <Override PartName="/customXml/itemProps2.xml" ContentType="application/vnd.openxmlformats-officedocument.customXmlProperties+xml"/>
  <Override PartName="/customXml/item3.xml" ContentType="application/xml"/>
  <Override PartName="/customXml/item4.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exact" w:line="320" w:before="0" w:after="120"/>
        <w:jc w:val="both"/>
        <w:rPr>
          <w:rFonts w:ascii="Calibri Light" w:hAnsi="Calibri Light" w:cs="Calibri Light" w:asciiTheme="majorHAnsi" w:cstheme="majorHAnsi" w:hAnsiTheme="majorHAnsi"/>
          <w:b/>
          <w:sz w:val="24"/>
          <w:szCs w:val="24"/>
        </w:rPr>
      </w:pPr>
      <w:r>
        <w:rPr>
          <w:rFonts w:cs="Calibri Light" w:ascii="Calibri Light" w:hAnsi="Calibri Light" w:asciiTheme="majorHAnsi" w:cstheme="majorHAnsi" w:hAnsiTheme="majorHAnsi"/>
          <w:b/>
          <w:sz w:val="24"/>
          <w:szCs w:val="24"/>
        </w:rPr>
        <w:t>ILUSTRÍSSIMO SENHOR AGENTE DE CONTRATAÇÃO DA PREFEITURA MUNICIPAL DE PIRAPORA.</w:t>
      </w:r>
    </w:p>
    <w:p>
      <w:pPr>
        <w:pStyle w:val="Normal"/>
        <w:snapToGrid w:val="false"/>
        <w:spacing w:lineRule="exact" w:line="320" w:before="0" w:after="120"/>
        <w:jc w:val="both"/>
        <w:rPr>
          <w:rFonts w:ascii="Calibri Light" w:hAnsi="Calibri Light" w:cs="Calibri Light" w:asciiTheme="majorHAnsi" w:cstheme="majorHAnsi" w:hAnsiTheme="majorHAnsi"/>
          <w:b/>
          <w:sz w:val="24"/>
          <w:szCs w:val="24"/>
        </w:rPr>
      </w:pPr>
      <w:r>
        <w:rPr>
          <w:rFonts w:cs="Calibri Light" w:ascii="Calibri Light" w:hAnsi="Calibri Light" w:asciiTheme="majorHAnsi" w:cstheme="majorHAnsi" w:hAnsiTheme="majorHAnsi"/>
          <w:b/>
          <w:sz w:val="24"/>
          <w:szCs w:val="24"/>
        </w:rPr>
        <w:t>ESTADO DE MINAS GERAIS.</w:t>
      </w:r>
    </w:p>
    <w:p>
      <w:pPr>
        <w:pStyle w:val="Default"/>
        <w:snapToGrid w:val="false"/>
        <w:spacing w:lineRule="exact" w:line="360" w:before="120" w:after="16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Default"/>
        <w:snapToGrid w:val="false"/>
        <w:spacing w:lineRule="exact" w:line="360" w:before="120" w:after="16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Default"/>
        <w:snapToGrid w:val="false"/>
        <w:spacing w:lineRule="exact" w:line="360" w:before="120" w:after="160"/>
        <w:jc w:val="both"/>
        <w:rPr>
          <w:rFonts w:ascii="Calibri Light" w:hAnsi="Calibri Light" w:cs="Calibri Light" w:asciiTheme="majorHAnsi" w:cstheme="majorHAnsi" w:hAnsiTheme="majorHAnsi"/>
          <w:b/>
          <w:bCs/>
          <w:color w:val="auto"/>
        </w:rPr>
      </w:pPr>
      <w:bookmarkStart w:id="0" w:name="_Hlk168554823"/>
      <w:r>
        <w:rPr>
          <w:rFonts w:cs="Calibri Light" w:ascii="Calibri Light" w:hAnsi="Calibri Light" w:asciiTheme="majorHAnsi" w:cstheme="majorHAnsi" w:hAnsiTheme="majorHAnsi"/>
          <w:b/>
          <w:bCs/>
          <w:color w:val="auto"/>
        </w:rPr>
        <w:t xml:space="preserve">PREGÃO ELETRÔNICO Nº 008/2024 </w:t>
      </w:r>
      <w:bookmarkEnd w:id="0"/>
    </w:p>
    <w:p>
      <w:pPr>
        <w:pStyle w:val="Default"/>
        <w:snapToGrid w:val="false"/>
        <w:spacing w:lineRule="exact" w:line="360" w:before="120" w:after="160"/>
        <w:jc w:val="both"/>
        <w:rPr>
          <w:rFonts w:ascii="Calibri Light" w:hAnsi="Calibri Light" w:cs="Calibri Light" w:asciiTheme="majorHAnsi" w:cstheme="majorHAnsi" w:hAnsiTheme="majorHAnsi"/>
          <w:b/>
          <w:bCs/>
          <w:color w:val="auto"/>
        </w:rPr>
      </w:pPr>
      <w:r>
        <w:rPr>
          <w:rFonts w:cs="Calibri Light" w:cstheme="majorHAnsi" w:ascii="Calibri Light" w:hAnsi="Calibri Light"/>
          <w:b/>
          <w:bCs/>
          <w:color w:val="auto"/>
        </w:rPr>
      </w:r>
    </w:p>
    <w:p>
      <w:pPr>
        <w:pStyle w:val="Default"/>
        <w:snapToGrid w:val="false"/>
        <w:spacing w:lineRule="exact" w:line="360" w:before="120" w:after="160"/>
        <w:jc w:val="both"/>
        <w:rPr>
          <w:rFonts w:ascii="Calibri Light" w:hAnsi="Calibri Light" w:cs="Calibri Light" w:asciiTheme="majorHAnsi" w:cstheme="majorHAnsi" w:hAnsiTheme="majorHAnsi"/>
          <w:b/>
          <w:bCs/>
          <w:color w:val="auto"/>
        </w:rPr>
      </w:pPr>
      <w:r>
        <w:rPr>
          <w:rFonts w:cs="Calibri Light" w:cstheme="majorHAnsi" w:ascii="Calibri Light" w:hAnsi="Calibri Light"/>
          <w:b/>
          <w:bCs/>
          <w:color w:val="auto"/>
        </w:rPr>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Em observância ao princípio da celeridade e eficiência, visando esclarecer pontos do Edital para garantir a ampla competitividade e possibilidade de maior participação de licitantes em busca do melhor preço para contratação, vem a licitante apresentar os </w:t>
      </w:r>
      <w:r>
        <w:rPr>
          <w:rFonts w:cs="Calibri Light" w:ascii="Calibri Light" w:hAnsi="Calibri Light" w:asciiTheme="majorHAnsi" w:cstheme="majorHAnsi" w:hAnsiTheme="majorHAnsi"/>
          <w:sz w:val="24"/>
          <w:szCs w:val="24"/>
          <w:u w:val="single"/>
        </w:rPr>
        <w:t>pedidos de esclarecimentos</w:t>
      </w:r>
      <w:r>
        <w:rPr>
          <w:rFonts w:cs="Calibri Light" w:ascii="Calibri Light" w:hAnsi="Calibri Light" w:asciiTheme="majorHAnsi" w:cstheme="majorHAnsi" w:hAnsiTheme="majorHAnsi"/>
          <w:sz w:val="24"/>
          <w:szCs w:val="24"/>
        </w:rPr>
        <w:t xml:space="preserve"> descritos a seguir:</w:t>
      </w:r>
      <w:bookmarkStart w:id="1" w:name="_Hlk97822607"/>
    </w:p>
    <w:p>
      <w:pPr>
        <w:pStyle w:val="Normal"/>
        <w:snapToGrid w:val="false"/>
        <w:spacing w:lineRule="auto" w:line="240" w:before="0" w:after="0"/>
        <w:jc w:val="both"/>
        <w:rPr>
          <w:rFonts w:ascii="Calibri Light" w:hAnsi="Calibri Light" w:cs="Calibri Light" w:asciiTheme="majorHAnsi" w:cstheme="majorHAnsi" w:hAnsiTheme="majorHAnsi"/>
          <w:b/>
          <w:bCs/>
          <w:sz w:val="24"/>
          <w:szCs w:val="24"/>
          <w:u w:val="single"/>
        </w:rPr>
      </w:pPr>
      <w:r>
        <w:rPr>
          <w:rFonts w:cs="Calibri Light" w:cstheme="majorHAnsi" w:ascii="Calibri Light" w:hAnsi="Calibri Light"/>
          <w:b/>
          <w:bCs/>
          <w:sz w:val="24"/>
          <w:szCs w:val="24"/>
          <w:u w:val="single"/>
        </w:rPr>
      </w:r>
    </w:p>
    <w:p>
      <w:pPr>
        <w:pStyle w:val="Normal"/>
        <w:tabs>
          <w:tab w:val="clear" w:pos="708"/>
          <w:tab w:val="left" w:pos="6804" w:leader="none"/>
        </w:tabs>
        <w:snapToGrid w:val="false"/>
        <w:spacing w:lineRule="exact" w:line="360" w:before="120" w:after="160"/>
        <w:jc w:val="both"/>
        <w:rPr>
          <w:rFonts w:ascii="Calibri Light" w:hAnsi="Calibri Light" w:cs="Calibri Light" w:asciiTheme="majorHAnsi" w:cstheme="majorHAnsi" w:hAnsiTheme="majorHAnsi"/>
          <w:b/>
          <w:bCs/>
          <w:sz w:val="24"/>
          <w:szCs w:val="24"/>
          <w:u w:val="single"/>
        </w:rPr>
      </w:pPr>
      <w:r>
        <w:rPr>
          <w:rFonts w:cs="Calibri Light" w:ascii="Calibri Light" w:hAnsi="Calibri Light" w:asciiTheme="majorHAnsi" w:cstheme="majorHAnsi" w:hAnsiTheme="majorHAnsi"/>
          <w:b/>
          <w:caps/>
          <w:sz w:val="24"/>
          <w:szCs w:val="24"/>
          <w:u w:val="single"/>
        </w:rPr>
        <w:t>1</w:t>
      </w:r>
      <w:r>
        <w:rPr>
          <w:rFonts w:cs="Calibri Light" w:ascii="Calibri Light" w:hAnsi="Calibri Light" w:asciiTheme="majorHAnsi" w:cstheme="majorHAnsi" w:hAnsiTheme="majorHAnsi"/>
          <w:b/>
          <w:bCs/>
          <w:sz w:val="24"/>
          <w:szCs w:val="24"/>
          <w:u w:val="single"/>
        </w:rPr>
        <w:t>-PRAZO PARA ENTREGA DOS VEÍCULOS-INSUFICIÊNCIA.</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bookmarkStart w:id="2" w:name="_Hlk33105762"/>
      <w:r>
        <w:rPr>
          <w:rFonts w:cs="Calibri Light" w:ascii="Calibri Light" w:hAnsi="Calibri Light" w:asciiTheme="majorHAnsi" w:cstheme="majorHAnsi" w:hAnsiTheme="majorHAnsi"/>
          <w:sz w:val="24"/>
          <w:szCs w:val="24"/>
        </w:rPr>
        <w:t>O edital fixa o seguinte prazo para entrega dos veículos, vejamos:</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bookmarkStart w:id="3" w:name="_Hlk168555033"/>
      <w:bookmarkEnd w:id="3"/>
      <w:r>
        <w:rPr>
          <w:rFonts w:cs="Calibri Light" w:ascii="Calibri Light" w:hAnsi="Calibri Light" w:asciiTheme="majorHAnsi" w:cstheme="majorHAnsi" w:hAnsiTheme="majorHAnsi"/>
          <w:i/>
          <w:iCs/>
          <w:sz w:val="24"/>
          <w:szCs w:val="24"/>
        </w:rPr>
        <w:t>a) A entrega dos veículos deverá ocorrer em até 15 (quinze) dias úteis, a contar da</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comunicação formal da Contratada, em remessa única;</w:t>
      </w:r>
    </w:p>
    <w:p>
      <w:pPr>
        <w:pStyle w:val="Normal"/>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bookmarkStart w:id="4" w:name="_Hlk168555033_Copia_1"/>
      <w:bookmarkEnd w:id="4"/>
      <w:r>
        <w:rPr>
          <w:rFonts w:cs="Calibri Light" w:ascii="Calibri Light" w:hAnsi="Calibri Light" w:asciiTheme="majorHAnsi" w:cstheme="majorHAnsi" w:hAnsiTheme="majorHAnsi"/>
          <w:bCs/>
          <w:sz w:val="24"/>
          <w:szCs w:val="24"/>
        </w:rPr>
        <w:t xml:space="preserve">Ademais, com relação às condições de fornecimento, no item 4.1 “a” foi estabelecido que os veículos devem possui ano de fabricação de até 02 anos, conduzindo ao entendimento que poderão ser seminovos. </w:t>
      </w:r>
    </w:p>
    <w:p>
      <w:pPr>
        <w:pStyle w:val="Normal"/>
        <w:snapToGrid w:val="false"/>
        <w:spacing w:lineRule="exact" w:line="360" w:before="120" w:after="160"/>
        <w:ind w:firstLine="567"/>
        <w:jc w:val="both"/>
        <w:rPr>
          <w:rFonts w:ascii="Calibri Light" w:hAnsi="Calibri Light" w:cs="Calibri Light" w:asciiTheme="majorHAnsi" w:cstheme="majorHAnsi" w:hAnsiTheme="majorHAnsi"/>
          <w:i/>
          <w:i/>
          <w:iCs/>
          <w:sz w:val="24"/>
          <w:szCs w:val="24"/>
        </w:rPr>
      </w:pPr>
      <w:bookmarkStart w:id="5" w:name="_Hlk168555098"/>
      <w:r>
        <w:rPr>
          <w:rFonts w:cs="Calibri Light" w:ascii="Calibri Light" w:hAnsi="Calibri Light" w:asciiTheme="majorHAnsi" w:cstheme="majorHAnsi" w:hAnsiTheme="majorHAnsi"/>
          <w:bCs/>
          <w:sz w:val="24"/>
          <w:szCs w:val="24"/>
        </w:rPr>
        <w:t>Neste contexto, a fim de possibilitar a participação do maior número de licitantes em busca do menor preço para o Município de Pirapora, deve ser considerado prazo razoável para cumprimento da obrigação pelas motivações expostas a seguir.</w:t>
      </w:r>
      <w:bookmarkEnd w:id="5"/>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Cumpre frisar que somente após assinatura do contrato pelas partes será efetivado o negócio jurídico, </w:t>
      </w:r>
      <w:r>
        <w:rPr>
          <w:rFonts w:cs="Calibri Light" w:ascii="Calibri Light" w:hAnsi="Calibri Light" w:asciiTheme="majorHAnsi" w:cstheme="majorHAnsi" w:hAnsiTheme="majorHAnsi"/>
          <w:sz w:val="24"/>
          <w:szCs w:val="24"/>
          <w:shd w:fill="FFFFFF" w:val="clear"/>
        </w:rPr>
        <w:t>proporcionando segurança e confiabilidade, além de viabilizar garantias materiais para a execução das condições pactuadas</w:t>
      </w:r>
      <w:r>
        <w:rPr>
          <w:rFonts w:cs="Calibri Light" w:ascii="Calibri Light" w:hAnsi="Calibri Light" w:asciiTheme="majorHAnsi" w:cstheme="majorHAnsi" w:hAnsiTheme="majorHAnsi"/>
          <w:sz w:val="24"/>
          <w:szCs w:val="24"/>
        </w:rPr>
        <w:t xml:space="preserve">, por conseguinte, somente após este momento a contratada poderá iniciar os procedimentos necessários para aquisição da quantidade exata de veículos objeto da locação. </w:t>
      </w:r>
    </w:p>
    <w:p>
      <w:pPr>
        <w:pStyle w:val="Normal"/>
        <w:tabs>
          <w:tab w:val="clear" w:pos="708"/>
          <w:tab w:val="left" w:pos="9923" w:leader="none"/>
        </w:tabs>
        <w:snapToGrid w:val="false"/>
        <w:spacing w:lineRule="exact" w:line="360" w:before="120" w:after="160"/>
        <w:ind w:firstLine="567"/>
        <w:jc w:val="both"/>
        <w:rPr>
          <w:rFonts w:ascii="Calibri Light" w:hAnsi="Calibri Light" w:cs="Calibri Light" w:asciiTheme="majorHAnsi" w:cstheme="majorHAnsi" w:hAnsiTheme="majorHAnsi"/>
          <w:sz w:val="24"/>
          <w:szCs w:val="24"/>
          <w:u w:val="single"/>
        </w:rPr>
      </w:pPr>
      <w:r>
        <w:rPr>
          <w:rFonts w:cs="Calibri Light" w:ascii="Calibri Light" w:hAnsi="Calibri Light" w:asciiTheme="majorHAnsi" w:cstheme="majorHAnsi" w:hAnsiTheme="majorHAnsi"/>
          <w:sz w:val="24"/>
          <w:szCs w:val="24"/>
        </w:rPr>
        <w:t xml:space="preserve">Outrossim, não se pode desconsiderar a possibilidade de revogação da licitação por interesse da Administração, tal situação, extremamente temerária, justifica totalmente a cautela adotada concernente à aquisição dos veículos </w:t>
      </w:r>
      <w:r>
        <w:rPr>
          <w:rFonts w:cs="Calibri Light" w:ascii="Calibri Light" w:hAnsi="Calibri Light" w:asciiTheme="majorHAnsi" w:cstheme="majorHAnsi" w:hAnsiTheme="majorHAnsi"/>
          <w:sz w:val="24"/>
          <w:szCs w:val="24"/>
          <w:u w:val="single"/>
        </w:rPr>
        <w:t>somente após efetiva formalização do contrato entre as partes.</w:t>
      </w:r>
    </w:p>
    <w:p>
      <w:pPr>
        <w:pStyle w:val="ListParagraph"/>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Ademais, a contratada dependerá da efetiva formalização do contrato para ter segurança juridica para arcar com os altos custos necessários para execução do contrato. Outrossim, dependerá de 3º para cumprimento do prazo de entrega dos veículos.</w:t>
      </w:r>
    </w:p>
    <w:p>
      <w:pPr>
        <w:pStyle w:val="Normal"/>
        <w:tabs>
          <w:tab w:val="clear" w:pos="708"/>
          <w:tab w:val="left" w:pos="9923" w:leader="none"/>
        </w:tabs>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Logo, caso opte pelo fornecimento de</w:t>
      </w:r>
      <w:r>
        <w:rPr>
          <w:rFonts w:cs="Calibri Light" w:ascii="Calibri Light" w:hAnsi="Calibri Light" w:asciiTheme="majorHAnsi" w:cstheme="majorHAnsi" w:hAnsiTheme="majorHAnsi"/>
          <w:b/>
          <w:bCs/>
          <w:sz w:val="24"/>
          <w:szCs w:val="24"/>
        </w:rPr>
        <w:t xml:space="preserve"> veículos zero km</w:t>
      </w:r>
      <w:r>
        <w:rPr>
          <w:rFonts w:cs="Calibri Light" w:ascii="Calibri Light" w:hAnsi="Calibri Light" w:asciiTheme="majorHAnsi" w:cstheme="majorHAnsi" w:hAnsiTheme="majorHAnsi"/>
          <w:sz w:val="24"/>
          <w:szCs w:val="24"/>
        </w:rPr>
        <w:t>, a contratada ficará sujeita aos prazos de faturamento impostos pelas montadoras, que ainda são incertos e possivelmente superariam o prazo de entrega previsto em edital.</w:t>
      </w:r>
    </w:p>
    <w:p>
      <w:pPr>
        <w:pStyle w:val="Normal"/>
        <w:tabs>
          <w:tab w:val="clear" w:pos="708"/>
          <w:tab w:val="left" w:pos="9923" w:leader="none"/>
        </w:tabs>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Por outro lado, para mobilização</w:t>
      </w:r>
      <w:r>
        <w:rPr>
          <w:rFonts w:cs="Calibri Light" w:ascii="Calibri Light" w:hAnsi="Calibri Light" w:asciiTheme="majorHAnsi" w:cstheme="majorHAnsi" w:hAnsiTheme="majorHAnsi"/>
          <w:b/>
          <w:bCs/>
          <w:sz w:val="24"/>
          <w:szCs w:val="24"/>
        </w:rPr>
        <w:t xml:space="preserve"> de frota seminova</w:t>
      </w:r>
      <w:r>
        <w:rPr>
          <w:rFonts w:cs="Calibri Light" w:ascii="Calibri Light" w:hAnsi="Calibri Light" w:asciiTheme="majorHAnsi" w:cstheme="majorHAnsi" w:hAnsiTheme="majorHAnsi"/>
          <w:sz w:val="24"/>
          <w:szCs w:val="24"/>
        </w:rPr>
        <w:t>, as condições fixadas restringem a participação das licitantes, já que dependerão de fornecedores que possuam a exata quantidade de veículos, nas condições e características estabelecidas em edital, prejudicando a mobilização da frota no exíguo prazo fixado.</w:t>
      </w:r>
    </w:p>
    <w:p>
      <w:pPr>
        <w:pStyle w:val="Normal"/>
        <w:tabs>
          <w:tab w:val="clear" w:pos="708"/>
          <w:tab w:val="left" w:pos="9923" w:leader="none"/>
        </w:tabs>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Acrescente-se ainda que, após liberação dos veículos, sejam eles novos ou seminovos a contratada deverá cumprir os procedimentos finais de preparação, os quais englobam regularização de documentos, e traslado, circunstâncias que demandam tempo considerável e refletem diretamente no prazo final de entrega.</w:t>
      </w:r>
    </w:p>
    <w:p>
      <w:pPr>
        <w:pStyle w:val="Normal"/>
        <w:tabs>
          <w:tab w:val="clear" w:pos="708"/>
          <w:tab w:val="left" w:pos="9923" w:leader="none"/>
        </w:tabs>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É importante salientar ainda, que o instrumento convocatório estabelece que o prazo de entrega dos veículos será contado a partir da comunicação formal da contratada, todavia, não informa o prazo para envio da respectiva comunicação.</w:t>
      </w:r>
    </w:p>
    <w:p>
      <w:pPr>
        <w:pStyle w:val="Normal"/>
        <w:tabs>
          <w:tab w:val="clear" w:pos="708"/>
          <w:tab w:val="left" w:pos="9923" w:leader="none"/>
        </w:tabs>
        <w:snapToGrid w:val="false"/>
        <w:spacing w:lineRule="exact" w:line="360" w:before="120" w:after="160"/>
        <w:ind w:firstLine="567"/>
        <w:jc w:val="both"/>
        <w:rPr>
          <w:rFonts w:ascii="Calibri Light" w:hAnsi="Calibri Light" w:cs="Calibri Light" w:asciiTheme="majorHAnsi" w:cstheme="majorHAnsi" w:hAnsiTheme="majorHAnsi"/>
          <w:sz w:val="24"/>
          <w:szCs w:val="24"/>
        </w:rPr>
      </w:pPr>
      <w:bookmarkStart w:id="6" w:name="_Hlk168555230"/>
      <w:r>
        <w:rPr>
          <w:rFonts w:cs="Calibri Light" w:ascii="Calibri Light" w:hAnsi="Calibri Light" w:asciiTheme="majorHAnsi" w:cstheme="majorHAnsi" w:hAnsiTheme="majorHAnsi"/>
          <w:sz w:val="24"/>
          <w:szCs w:val="24"/>
        </w:rPr>
        <w:t>Não há dúvidas que a contratada dependerá de prazos impostos por terceiros para disponibilização dos veículos à contratante, os quais poderão superar o prazo de entrega fixado no Edital e prejudicarão o cumprimento da obrigação pela contratada, sem que lhe possa ser atribuída qualquer responsabilidade por tais fatos.</w:t>
      </w:r>
      <w:bookmarkEnd w:id="6"/>
    </w:p>
    <w:p>
      <w:pPr>
        <w:pStyle w:val="Normal"/>
        <w:snapToGrid w:val="false"/>
        <w:spacing w:lineRule="exact" w:line="360" w:before="120" w:after="160"/>
        <w:ind w:firstLine="567" w:right="-24"/>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Assim, é importante que as condições para entrega do objeto sejam condizentes com a realidade do mercado, a fim de garantir a ampliação da disputa e assegurar que o processo licitatório atinja seu principal objetivo que é a obtenção do menor preço para contratação.</w:t>
      </w:r>
    </w:p>
    <w:p>
      <w:pPr>
        <w:pStyle w:val="ListParagraph"/>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Com efeito, tais situações fogem ao controle da contratada e podem prejudicar o cumprimento do prazo de entrega fixado no edital.</w:t>
      </w:r>
    </w:p>
    <w:p>
      <w:pPr>
        <w:pStyle w:val="ListParagraph"/>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Por fim, considerando que a contratada somente terá conhecimento da demanda com o recebimento da solicitação formal pela contratante, torna-se mais razoável que o prazo de entrega dos veículos seja contado a partir do </w:t>
      </w:r>
      <w:r>
        <w:rPr>
          <w:rFonts w:cs="Calibri Light" w:ascii="Calibri Light" w:hAnsi="Calibri Light" w:asciiTheme="majorHAnsi" w:cstheme="majorHAnsi" w:hAnsiTheme="majorHAnsi"/>
          <w:b/>
          <w:bCs/>
          <w:sz w:val="24"/>
          <w:szCs w:val="24"/>
        </w:rPr>
        <w:t>recebimento</w:t>
      </w:r>
      <w:r>
        <w:rPr>
          <w:rFonts w:cs="Calibri Light" w:ascii="Calibri Light" w:hAnsi="Calibri Light" w:asciiTheme="majorHAnsi" w:cstheme="majorHAnsi" w:hAnsiTheme="majorHAnsi"/>
          <w:sz w:val="24"/>
          <w:szCs w:val="24"/>
        </w:rPr>
        <w:t xml:space="preserve"> da “comunicação formal” pela contratada, o qual deverá ocorrer somente após a celebração do contrato entre as partes.</w:t>
      </w:r>
      <w:bookmarkEnd w:id="2"/>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Ante o exposto, </w:t>
      </w:r>
      <w:r>
        <w:rPr>
          <w:rFonts w:cs="Calibri Light" w:ascii="Calibri Light" w:hAnsi="Calibri Light" w:asciiTheme="majorHAnsi" w:cstheme="majorHAnsi" w:hAnsiTheme="majorHAnsi"/>
          <w:bCs/>
          <w:sz w:val="24"/>
          <w:szCs w:val="24"/>
        </w:rPr>
        <w:t xml:space="preserve">com intuito de garantir a ampliação da disputa, </w:t>
      </w:r>
      <w:r>
        <w:rPr>
          <w:rFonts w:cs="Calibri Light" w:ascii="Calibri Light" w:hAnsi="Calibri Light" w:asciiTheme="majorHAnsi" w:cstheme="majorHAnsi" w:hAnsiTheme="majorHAnsi"/>
          <w:sz w:val="24"/>
          <w:szCs w:val="24"/>
        </w:rPr>
        <w:t xml:space="preserve">questiona-se: </w:t>
      </w:r>
    </w:p>
    <w:p>
      <w:pPr>
        <w:pStyle w:val="ListParagraph"/>
        <w:numPr>
          <w:ilvl w:val="0"/>
          <w:numId w:val="7"/>
        </w:numPr>
        <w:tabs>
          <w:tab w:val="clear" w:pos="708"/>
          <w:tab w:val="left" w:pos="567"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O prazo de entrega pode ser iniciado a partir do </w:t>
      </w:r>
      <w:r>
        <w:rPr>
          <w:rFonts w:cs="Calibri Light" w:ascii="Calibri Light" w:hAnsi="Calibri Light" w:asciiTheme="majorHAnsi" w:cstheme="majorHAnsi" w:hAnsiTheme="majorHAnsi"/>
          <w:sz w:val="24"/>
          <w:szCs w:val="24"/>
          <w:u w:val="single"/>
        </w:rPr>
        <w:t>recebimento</w:t>
      </w:r>
      <w:r>
        <w:rPr>
          <w:rFonts w:cs="Calibri Light" w:ascii="Calibri Light" w:hAnsi="Calibri Light" w:asciiTheme="majorHAnsi" w:cstheme="majorHAnsi" w:hAnsiTheme="majorHAnsi"/>
          <w:sz w:val="24"/>
          <w:szCs w:val="24"/>
        </w:rPr>
        <w:t xml:space="preserve"> da comunicação formal pela contratada?  </w:t>
      </w:r>
      <w:r>
        <w:rPr>
          <w:rFonts w:cs="Calibri Light" w:ascii="Calibri Light" w:hAnsi="Calibri Light" w:asciiTheme="majorHAnsi" w:cstheme="majorHAnsi" w:hAnsiTheme="majorHAnsi"/>
          <w:b/>
          <w:bCs/>
          <w:color w:val="C9211E"/>
          <w:sz w:val="24"/>
          <w:szCs w:val="24"/>
        </w:rPr>
        <w:t>Sim! Conforme termo de referência, item 6.1, alínea “a”. O termo de referência está anexo ao edital (que faz lei entre as partes).</w:t>
      </w:r>
    </w:p>
    <w:p>
      <w:pPr>
        <w:pStyle w:val="ListParagraph"/>
        <w:numPr>
          <w:ilvl w:val="0"/>
          <w:numId w:val="7"/>
        </w:numPr>
        <w:tabs>
          <w:tab w:val="clear" w:pos="708"/>
          <w:tab w:val="left" w:pos="567"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Entendemos que a comunicação será enviada </w:t>
      </w:r>
      <w:r>
        <w:rPr>
          <w:rFonts w:cs="Calibri Light" w:ascii="Calibri Light" w:hAnsi="Calibri Light" w:asciiTheme="majorHAnsi" w:cstheme="majorHAnsi" w:hAnsiTheme="majorHAnsi"/>
          <w:b/>
          <w:bCs/>
          <w:sz w:val="24"/>
          <w:szCs w:val="24"/>
        </w:rPr>
        <w:t>após assinatura do contrato</w:t>
      </w:r>
      <w:r>
        <w:rPr>
          <w:rFonts w:cs="Calibri Light" w:ascii="Calibri Light" w:hAnsi="Calibri Light" w:asciiTheme="majorHAnsi" w:cstheme="majorHAnsi" w:hAnsiTheme="majorHAnsi"/>
          <w:sz w:val="24"/>
          <w:szCs w:val="24"/>
        </w:rPr>
        <w:t xml:space="preserve">. Está correto nosso entendimento? </w:t>
      </w:r>
      <w:r>
        <w:rPr>
          <w:rFonts w:cs="Calibri Light" w:ascii="Calibri Light" w:hAnsi="Calibri Light" w:asciiTheme="majorHAnsi" w:cstheme="majorHAnsi" w:hAnsiTheme="majorHAnsi"/>
          <w:b/>
          <w:bCs/>
          <w:color w:val="C9211E"/>
          <w:sz w:val="24"/>
          <w:szCs w:val="24"/>
        </w:rPr>
        <w:t xml:space="preserve">Trata-se de licitação na modalidade pregão eletrônico com registro de preços, o que vai gerar uma ata com o preço registrado. </w:t>
      </w:r>
    </w:p>
    <w:p>
      <w:pPr>
        <w:pStyle w:val="ListParagraph"/>
        <w:numPr>
          <w:ilvl w:val="0"/>
          <w:numId w:val="7"/>
        </w:numPr>
        <w:tabs>
          <w:tab w:val="clear" w:pos="708"/>
          <w:tab w:val="left" w:pos="567"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u w:val="single"/>
        </w:rPr>
      </w:pPr>
      <w:r>
        <w:rPr>
          <w:rFonts w:cs="Calibri Light" w:ascii="Calibri Light" w:hAnsi="Calibri Light" w:asciiTheme="majorHAnsi" w:cstheme="majorHAnsi" w:hAnsiTheme="majorHAnsi"/>
          <w:sz w:val="24"/>
          <w:szCs w:val="24"/>
          <w:u w:val="single"/>
        </w:rPr>
        <w:t xml:space="preserve">Caso a contratada opte pelo fornecimento de veículos novos: o prazo de entrega pode ser de 90 dias prorrogáveis por mais 30 dias, se solicitado e justificado pela contratada? </w:t>
      </w:r>
      <w:r>
        <w:rPr>
          <w:rFonts w:cs="Calibri Light" w:ascii="Calibri Light" w:hAnsi="Calibri Light" w:asciiTheme="majorHAnsi" w:cstheme="majorHAnsi" w:hAnsiTheme="majorHAnsi"/>
          <w:b/>
          <w:bCs/>
          <w:color w:val="C9211E"/>
          <w:sz w:val="24"/>
          <w:szCs w:val="24"/>
          <w:u w:val="none"/>
        </w:rPr>
        <w:t>“Iremos manter os 15 dias úteis após o recebimento, pela contratada, da Ordem de Compra/Autorização de Empenho da PMP/MG, expedida pela Secretaria afim. Gostaríamos de destacar, que estamos tratando de locação de veículos com até 02 anos de uso, e não veículo zero km, o que justifica plenamente o prazo constante do edital 2024. É importante salientar ainda, que na licitação de 2023, o prazo de entrega era de 10 (dez) dias úteis, e não houve qualquer reclamação, ou solicitação de prorrogação de prazo de entrega por parte de nenhuma das empresas participantes, sendo que as duas empresas vencedoras, atenderam fielmente o prazo determinado no contrato.”</w:t>
      </w:r>
    </w:p>
    <w:p>
      <w:pPr>
        <w:pStyle w:val="ListParagraph"/>
        <w:numPr>
          <w:ilvl w:val="0"/>
          <w:numId w:val="7"/>
        </w:numPr>
        <w:tabs>
          <w:tab w:val="clear" w:pos="708"/>
          <w:tab w:val="left" w:pos="567"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u w:val="single"/>
        </w:rPr>
      </w:pPr>
      <w:r>
        <w:rPr>
          <w:rFonts w:cs="Calibri Light" w:ascii="Calibri Light" w:hAnsi="Calibri Light" w:asciiTheme="majorHAnsi" w:cstheme="majorHAnsi" w:hAnsiTheme="majorHAnsi"/>
          <w:sz w:val="24"/>
          <w:szCs w:val="24"/>
          <w:u w:val="single"/>
        </w:rPr>
        <w:t xml:space="preserve">Caso a contratada opte pelo fornecimento de veículos seminovos: o prazo de entrega pode ser de 60 dias prorrogáveis por mais 30 dias, se solicitado e justificado pela contratada? </w:t>
      </w:r>
      <w:r>
        <w:rPr>
          <w:rFonts w:cs="Calibri Light" w:ascii="Calibri Light" w:hAnsi="Calibri Light" w:asciiTheme="majorHAnsi" w:cstheme="majorHAnsi" w:hAnsiTheme="majorHAnsi"/>
          <w:b/>
          <w:bCs/>
          <w:color w:val="C9211E"/>
          <w:sz w:val="24"/>
          <w:szCs w:val="24"/>
          <w:u w:val="none"/>
        </w:rPr>
        <w:t>“Iremos manter os 15 dias úteis após o recebimento, pela contratada, da Ordem de Compra/Autorização de Empenho da PMP/MG, expedida pela Secretaria afim. Gostaríamos de destacar, que estamos tratando de locação de veículos com até 02 anos de uso, e não veículo zero km, o que justifica plenamente o prazo constante do edital 2024. É importante salientar ainda, que na licitação de 2023, o prazo de entrega era de 10 (dez) dias úteis, e não houve qualquer reclamação, ou solicitação de prorrogação de prazo de entrega por parte de nenhuma das empresas participantes, sendo que as duas empresas vencedoras, atenderam fielmente o prazo determinado no contrato.”</w:t>
      </w:r>
    </w:p>
    <w:p>
      <w:pPr>
        <w:pStyle w:val="ListParagraph"/>
        <w:tabs>
          <w:tab w:val="clear" w:pos="708"/>
          <w:tab w:val="left" w:pos="567"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cstheme="majorHAnsi" w:ascii="Calibri Light" w:hAnsi="Calibri Light"/>
          <w:sz w:val="24"/>
          <w:szCs w:val="24"/>
        </w:rPr>
      </w:r>
    </w:p>
    <w:p>
      <w:pPr>
        <w:pStyle w:val="Normal"/>
        <w:snapToGrid w:val="false"/>
        <w:spacing w:lineRule="exact" w:line="360" w:before="120" w:after="160"/>
        <w:jc w:val="both"/>
        <w:rPr>
          <w:rFonts w:ascii="Calibri Light" w:hAnsi="Calibri Light" w:cs="Calibri Light" w:asciiTheme="majorHAnsi" w:cstheme="majorHAnsi" w:hAnsiTheme="majorHAnsi"/>
          <w:b/>
          <w:bCs/>
          <w:sz w:val="24"/>
          <w:szCs w:val="24"/>
          <w:u w:val="single"/>
        </w:rPr>
      </w:pPr>
      <w:r>
        <w:rPr>
          <w:rFonts w:cs="Calibri Light" w:ascii="Calibri Light" w:hAnsi="Calibri Light" w:asciiTheme="majorHAnsi" w:cstheme="majorHAnsi" w:hAnsiTheme="majorHAnsi"/>
          <w:b/>
          <w:bCs/>
          <w:sz w:val="24"/>
          <w:szCs w:val="24"/>
          <w:u w:val="single"/>
        </w:rPr>
        <w:t>2-FORMALIZAÇÃO DO CONTRATO/FORMA DE EXECUÇÃO.</w:t>
      </w:r>
      <w:bookmarkEnd w:id="1"/>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A minuta do contrato é instrumento indispensável para fixar o prazo de vigência e os demais regramentos que deverão ser observados pelas partes, tanto é verdade, que foi disponibilizada minuta contratual como anexo ao edital e constam diversas previsões relacionadas à este documento, inclusive, concernentes à sua assinatura.</w:t>
      </w:r>
    </w:p>
    <w:p>
      <w:pPr>
        <w:pStyle w:val="ListParagraph"/>
        <w:snapToGrid w:val="false"/>
        <w:spacing w:lineRule="exact" w:line="360" w:before="120" w:after="160"/>
        <w:ind w:left="567"/>
        <w:contextualSpacing w:val="false"/>
        <w:jc w:val="both"/>
        <w:rPr>
          <w:rFonts w:ascii="Calibri Light" w:hAnsi="Calibri Light" w:cs="Calibri Light" w:asciiTheme="majorHAnsi" w:cstheme="majorHAnsi" w:hAnsiTheme="majorHAnsi"/>
          <w:bCs/>
          <w:sz w:val="24"/>
          <w:szCs w:val="24"/>
          <w:u w:val="single"/>
        </w:rPr>
      </w:pPr>
      <w:r>
        <w:rPr>
          <w:rFonts w:cs="Calibri Light" w:ascii="Calibri Light" w:hAnsi="Calibri Light" w:asciiTheme="majorHAnsi" w:cstheme="majorHAnsi" w:hAnsiTheme="majorHAnsi"/>
          <w:bCs/>
          <w:sz w:val="24"/>
          <w:szCs w:val="24"/>
        </w:rPr>
        <w:t>Diante disso, entendemos que:</w:t>
      </w:r>
    </w:p>
    <w:p>
      <w:pPr>
        <w:pStyle w:val="ListParagraph"/>
        <w:numPr>
          <w:ilvl w:val="0"/>
          <w:numId w:val="3"/>
        </w:numPr>
        <w:snapToGrid w:val="false"/>
        <w:spacing w:lineRule="exact" w:line="360" w:before="120" w:after="16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 xml:space="preserve">O negócio a ser firmado entre as partes deverá ser formalizada somente por contrato, seguindo a minuta padrão do edital. Está correto nosso entendimento? </w:t>
      </w:r>
      <w:r>
        <w:rPr>
          <w:rFonts w:cs="Calibri Light" w:ascii="Calibri Light" w:hAnsi="Calibri Light" w:asciiTheme="majorHAnsi" w:cstheme="majorHAnsi" w:hAnsiTheme="majorHAnsi"/>
          <w:b/>
          <w:bCs/>
          <w:color w:val="C9211E"/>
          <w:sz w:val="24"/>
          <w:szCs w:val="24"/>
        </w:rPr>
        <w:t>Não, haja vista que o que vai gerar é uma ata de registro de preços, conforme explicado no edital.</w:t>
      </w:r>
    </w:p>
    <w:p>
      <w:pPr>
        <w:pStyle w:val="ListParagraph"/>
        <w:numPr>
          <w:ilvl w:val="0"/>
          <w:numId w:val="3"/>
        </w:numPr>
        <w:snapToGrid w:val="false"/>
        <w:spacing w:lineRule="exact" w:line="360" w:before="120" w:after="160"/>
        <w:contextualSpacing w:val="false"/>
        <w:jc w:val="both"/>
        <w:rPr>
          <w:rFonts w:ascii="Calibri Light" w:hAnsi="Calibri Light" w:cs="Calibri Light" w:asciiTheme="majorHAnsi" w:cstheme="majorHAnsi" w:hAnsiTheme="majorHAnsi"/>
          <w:bCs/>
          <w:sz w:val="24"/>
          <w:szCs w:val="24"/>
        </w:rPr>
      </w:pPr>
      <w:bookmarkStart w:id="7" w:name="_Hlk106200802"/>
      <w:r>
        <w:rPr>
          <w:rFonts w:cs="Calibri Light" w:ascii="Calibri Light" w:hAnsi="Calibri Light" w:asciiTheme="majorHAnsi" w:cstheme="majorHAnsi" w:hAnsiTheme="majorHAnsi"/>
          <w:bCs/>
          <w:sz w:val="24"/>
          <w:szCs w:val="24"/>
        </w:rPr>
        <w:t>Os veículos serão locados pelo prazo mínimo de 12 meses. Está correto nosso entendimento?</w:t>
      </w:r>
      <w:bookmarkEnd w:id="7"/>
      <w:r>
        <w:rPr>
          <w:rFonts w:cs="Calibri Light" w:ascii="Calibri Light" w:hAnsi="Calibri Light" w:asciiTheme="majorHAnsi" w:cstheme="majorHAnsi" w:hAnsiTheme="majorHAnsi"/>
          <w:bCs/>
          <w:sz w:val="24"/>
          <w:szCs w:val="24"/>
        </w:rPr>
        <w:t xml:space="preserve"> </w:t>
      </w:r>
      <w:r>
        <w:rPr>
          <w:rFonts w:cs="Calibri Light" w:ascii="Calibri Light" w:hAnsi="Calibri Light" w:asciiTheme="majorHAnsi" w:cstheme="majorHAnsi" w:hAnsiTheme="majorHAnsi"/>
          <w:b/>
          <w:bCs/>
          <w:color w:val="C9211E"/>
          <w:sz w:val="24"/>
          <w:szCs w:val="24"/>
        </w:rPr>
        <w:t>Não necessariamente, pois vai depender da demanda e necessidade de cada secretaria, setor, departamento. O que estamos fazendo é uma licitação e não contratação. Há diferenças!</w:t>
      </w:r>
    </w:p>
    <w:p>
      <w:pPr>
        <w:pStyle w:val="Normal"/>
        <w:snapToGrid w:val="false"/>
        <w:spacing w:lineRule="auto" w:line="240" w:before="0" w:after="0"/>
        <w:jc w:val="both"/>
        <w:rPr>
          <w:rFonts w:ascii="Calibri Light" w:hAnsi="Calibri Light" w:cs="Calibri Light" w:asciiTheme="majorHAnsi" w:cstheme="majorHAnsi" w:hAnsiTheme="majorHAnsi"/>
          <w:b/>
          <w:sz w:val="24"/>
          <w:szCs w:val="24"/>
          <w:u w:val="single"/>
        </w:rPr>
      </w:pPr>
      <w:r>
        <w:rPr>
          <w:rFonts w:cs="Calibri Light" w:cstheme="majorHAnsi" w:ascii="Calibri Light" w:hAnsi="Calibri Light"/>
          <w:b/>
          <w:sz w:val="24"/>
          <w:szCs w:val="24"/>
          <w:u w:val="single"/>
        </w:rPr>
      </w:r>
    </w:p>
    <w:p>
      <w:pPr>
        <w:pStyle w:val="ListParagraph"/>
        <w:tabs>
          <w:tab w:val="clear" w:pos="708"/>
          <w:tab w:val="left" w:pos="10206" w:leader="none"/>
        </w:tabs>
        <w:snapToGrid w:val="false"/>
        <w:spacing w:lineRule="exact" w:line="360" w:before="120" w:after="160"/>
        <w:ind w:left="0"/>
        <w:contextualSpacing w:val="false"/>
        <w:jc w:val="both"/>
        <w:rPr>
          <w:rFonts w:ascii="Calibri Light" w:hAnsi="Calibri Light" w:cs="Calibri Light" w:asciiTheme="majorHAnsi" w:cstheme="majorHAnsi" w:hAnsiTheme="majorHAnsi"/>
          <w:b/>
          <w:bCs/>
          <w:sz w:val="24"/>
          <w:szCs w:val="24"/>
        </w:rPr>
      </w:pPr>
      <w:r>
        <w:rPr>
          <w:rFonts w:cs="Calibri Light" w:ascii="Calibri Light" w:hAnsi="Calibri Light" w:asciiTheme="majorHAnsi" w:cstheme="majorHAnsi" w:hAnsiTheme="majorHAnsi"/>
          <w:b/>
          <w:bCs/>
          <w:sz w:val="24"/>
          <w:szCs w:val="24"/>
          <w:u w:val="single"/>
        </w:rPr>
        <w:t>3-PRAZO PARA ASSINATURA DA ATA E CONTRATOS</w:t>
      </w:r>
      <w:r>
        <w:rPr>
          <w:rFonts w:cs="Calibri Light" w:ascii="Calibri Light" w:hAnsi="Calibri Light" w:asciiTheme="majorHAnsi" w:cstheme="majorHAnsi" w:hAnsiTheme="majorHAnsi"/>
          <w:b/>
          <w:bCs/>
          <w:sz w:val="24"/>
          <w:szCs w:val="24"/>
        </w:rPr>
        <w:t>.</w:t>
      </w:r>
    </w:p>
    <w:p>
      <w:pPr>
        <w:pStyle w:val="ListParagraph"/>
        <w:tabs>
          <w:tab w:val="clear" w:pos="708"/>
          <w:tab w:val="left" w:pos="10206" w:leader="none"/>
        </w:tabs>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O edital fixa o prazo de 05 dias para assinatura da ARP.</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Entretanto, não estabelece prazo para assinatura do contrato.</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Neste contexto, cabe destacar que em razão de procedimentos internos exigidos pelos setores de controle desta empresa para validação de documentos decorrentes de contratação pública torna-se razoável a concessão de prazos para assinaturas mais longos e contados em dias úteis, em conformidade com os demais prazos e a partir da efetiva convocação.</w:t>
      </w:r>
    </w:p>
    <w:p>
      <w:pPr>
        <w:pStyle w:val="Normal"/>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Assim, para conceder prazo razoável para cumprimento da obrigação, questiona-se:</w:t>
      </w:r>
    </w:p>
    <w:p>
      <w:pPr>
        <w:pStyle w:val="ListParagraph"/>
        <w:numPr>
          <w:ilvl w:val="0"/>
          <w:numId w:val="10"/>
        </w:numPr>
        <w:snapToGrid w:val="false"/>
        <w:spacing w:lineRule="exact" w:line="360" w:before="120" w:after="160"/>
        <w:contextualSpacing w:val="false"/>
        <w:jc w:val="both"/>
        <w:rPr>
          <w:rFonts w:ascii="Calibri Light" w:hAnsi="Calibri Light" w:cs="Calibri Light" w:asciiTheme="majorHAnsi" w:cstheme="majorHAnsi" w:hAnsiTheme="majorHAnsi"/>
          <w:b/>
          <w:bCs/>
          <w:sz w:val="24"/>
          <w:szCs w:val="24"/>
        </w:rPr>
      </w:pPr>
      <w:r>
        <w:rPr>
          <w:rFonts w:cs="Calibri Light" w:ascii="Calibri Light" w:hAnsi="Calibri Light" w:asciiTheme="majorHAnsi" w:cstheme="majorHAnsi" w:hAnsiTheme="majorHAnsi"/>
          <w:bCs/>
          <w:sz w:val="24"/>
          <w:szCs w:val="24"/>
        </w:rPr>
        <w:t xml:space="preserve">o prazo para assinatura dos contratos pode ser de 05 dias </w:t>
      </w:r>
      <w:r>
        <w:rPr>
          <w:rFonts w:cs="Calibri Light" w:ascii="Calibri Light" w:hAnsi="Calibri Light" w:asciiTheme="majorHAnsi" w:cstheme="majorHAnsi" w:hAnsiTheme="majorHAnsi"/>
          <w:b/>
          <w:bCs/>
          <w:sz w:val="24"/>
          <w:szCs w:val="24"/>
        </w:rPr>
        <w:t xml:space="preserve">ÚTEIS com possibilidade de prorrogação por igual período, </w:t>
      </w:r>
      <w:r>
        <w:rPr>
          <w:rFonts w:cs="Calibri Light" w:ascii="Calibri Light" w:hAnsi="Calibri Light" w:asciiTheme="majorHAnsi" w:cstheme="majorHAnsi" w:hAnsiTheme="majorHAnsi"/>
          <w:sz w:val="24"/>
          <w:szCs w:val="24"/>
        </w:rPr>
        <w:t xml:space="preserve">contados da efetiva convocação? O que será gerado, como já dito outras vezes, é uma ata de registro de preços, pois a modalidade licitatória em apreço é </w:t>
      </w:r>
      <w:r>
        <w:rPr>
          <w:rFonts w:cs="Calibri Light" w:ascii="Calibri Light" w:hAnsi="Calibri Light" w:asciiTheme="majorHAnsi" w:cstheme="majorHAnsi" w:hAnsiTheme="majorHAnsi"/>
          <w:b/>
          <w:bCs/>
          <w:color w:val="C9211E"/>
          <w:sz w:val="24"/>
          <w:szCs w:val="24"/>
        </w:rPr>
        <w:t xml:space="preserve">PREGÃO ELETRÔNICO COM REGISTRO DE PREÇOS!!!!!! </w:t>
      </w:r>
    </w:p>
    <w:p>
      <w:pPr>
        <w:pStyle w:val="ListParagraph"/>
        <w:numPr>
          <w:ilvl w:val="0"/>
          <w:numId w:val="10"/>
        </w:numPr>
        <w:snapToGrid w:val="false"/>
        <w:spacing w:lineRule="exact" w:line="360" w:before="120" w:after="160"/>
        <w:contextualSpacing w:val="false"/>
        <w:jc w:val="both"/>
        <w:rPr>
          <w:rFonts w:ascii="Calibri Light" w:hAnsi="Calibri Light" w:cs="Calibri Light" w:asciiTheme="majorHAnsi" w:cstheme="majorHAnsi" w:hAnsiTheme="majorHAnsi"/>
          <w:b/>
          <w:bCs/>
          <w:sz w:val="24"/>
          <w:szCs w:val="24"/>
        </w:rPr>
      </w:pPr>
      <w:r>
        <w:rPr>
          <w:rFonts w:cs="Calibri Light" w:ascii="Calibri Light" w:hAnsi="Calibri Light" w:asciiTheme="majorHAnsi" w:cstheme="majorHAnsi" w:hAnsiTheme="majorHAnsi"/>
          <w:bCs/>
          <w:sz w:val="24"/>
          <w:szCs w:val="24"/>
        </w:rPr>
        <w:t xml:space="preserve">o prazo para assinatura da ata de registro de preços pode ser de 05 dias </w:t>
      </w:r>
      <w:r>
        <w:rPr>
          <w:rFonts w:cs="Calibri Light" w:ascii="Calibri Light" w:hAnsi="Calibri Light" w:asciiTheme="majorHAnsi" w:cstheme="majorHAnsi" w:hAnsiTheme="majorHAnsi"/>
          <w:b/>
          <w:bCs/>
          <w:sz w:val="24"/>
          <w:szCs w:val="24"/>
        </w:rPr>
        <w:t xml:space="preserve">ÚTEIS com possibilidade de prorrogação por igual período, </w:t>
      </w:r>
      <w:r>
        <w:rPr>
          <w:rFonts w:cs="Calibri Light" w:ascii="Calibri Light" w:hAnsi="Calibri Light" w:asciiTheme="majorHAnsi" w:cstheme="majorHAnsi" w:hAnsiTheme="majorHAnsi"/>
          <w:sz w:val="24"/>
          <w:szCs w:val="24"/>
        </w:rPr>
        <w:t>contados da efetiva convocação?</w:t>
      </w:r>
      <w:r>
        <w:rPr>
          <w:rFonts w:cs="Calibri Light" w:ascii="Calibri Light" w:hAnsi="Calibri Light" w:asciiTheme="majorHAnsi" w:cstheme="majorHAnsi" w:hAnsiTheme="majorHAnsi"/>
          <w:b/>
          <w:bCs/>
          <w:sz w:val="24"/>
          <w:szCs w:val="24"/>
        </w:rPr>
        <w:t xml:space="preserve"> </w:t>
      </w:r>
      <w:r>
        <w:rPr>
          <w:rFonts w:cs="Calibri Light" w:ascii="Calibri Light" w:hAnsi="Calibri Light" w:asciiTheme="majorHAnsi" w:cstheme="majorHAnsi" w:hAnsiTheme="majorHAnsi"/>
          <w:b/>
          <w:bCs/>
          <w:color w:val="C9211E"/>
          <w:sz w:val="24"/>
          <w:szCs w:val="24"/>
        </w:rPr>
        <w:t>Sim. Referência: favor ler os itens 9.1 e 9.2 do edital.</w:t>
      </w:r>
    </w:p>
    <w:p>
      <w:pPr>
        <w:pStyle w:val="Normal"/>
        <w:snapToGrid w:val="false"/>
        <w:spacing w:lineRule="auto" w:line="240" w:before="0" w:after="0"/>
        <w:jc w:val="both"/>
        <w:rPr>
          <w:rFonts w:ascii="Calibri Light" w:hAnsi="Calibri Light" w:cs="Calibri Light" w:asciiTheme="majorHAnsi" w:cstheme="majorHAnsi" w:hAnsiTheme="majorHAnsi"/>
          <w:b/>
          <w:sz w:val="24"/>
          <w:szCs w:val="24"/>
          <w:u w:val="single"/>
        </w:rPr>
      </w:pPr>
      <w:r>
        <w:rPr>
          <w:rFonts w:cs="Calibri Light" w:cstheme="majorHAnsi" w:ascii="Calibri Light" w:hAnsi="Calibri Light"/>
          <w:b/>
          <w:sz w:val="24"/>
          <w:szCs w:val="24"/>
          <w:u w:val="single"/>
        </w:rPr>
      </w:r>
    </w:p>
    <w:p>
      <w:pPr>
        <w:pStyle w:val="Normal"/>
        <w:snapToGrid w:val="false"/>
        <w:spacing w:lineRule="exact" w:line="360" w:before="120" w:after="160"/>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b/>
          <w:sz w:val="24"/>
          <w:szCs w:val="24"/>
          <w:u w:val="single"/>
        </w:rPr>
        <w:t>4-</w:t>
      </w:r>
      <w:bookmarkStart w:id="8" w:name="_Hlk105605214"/>
      <w:r>
        <w:rPr>
          <w:rFonts w:cs="Calibri Light" w:ascii="Calibri Light" w:hAnsi="Calibri Light" w:asciiTheme="majorHAnsi" w:cstheme="majorHAnsi" w:hAnsiTheme="majorHAnsi"/>
          <w:b/>
          <w:bCs/>
          <w:sz w:val="24"/>
          <w:szCs w:val="24"/>
          <w:u w:val="single"/>
        </w:rPr>
        <w:t>DA VIGÊNCIA E PRORROGAÇÃO</w:t>
      </w:r>
      <w:r>
        <w:rPr>
          <w:rFonts w:cs="Calibri Light" w:ascii="Calibri Light" w:hAnsi="Calibri Light" w:asciiTheme="majorHAnsi" w:cstheme="majorHAnsi" w:hAnsiTheme="majorHAnsi"/>
          <w:sz w:val="24"/>
          <w:szCs w:val="24"/>
          <w:u w:val="single"/>
        </w:rPr>
        <w:t>.</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O edital estabelece que o contrato terá 12 (doze) meses de vigência contados de sua assinatura.</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Além disso, a minuta contratual fixa o seguinte:</w:t>
      </w:r>
    </w:p>
    <w:p>
      <w:pPr>
        <w:pStyle w:val="Normal"/>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2.1.1. O prazo de vigência será automaticamente prorrogado, independentemente de termo aditivo, quando o objeto não for concluído no período firmado acima, ressalvadas as providências cabíveis no caso de culpa do contratado, previstas neste instrumento.</w:t>
      </w:r>
    </w:p>
    <w:p>
      <w:pPr>
        <w:pStyle w:val="Normal"/>
        <w:spacing w:lineRule="exact" w:line="300" w:before="0" w:after="0"/>
        <w:ind w:left="851"/>
        <w:jc w:val="both"/>
        <w:rPr>
          <w:rFonts w:ascii="Calibri Light" w:hAnsi="Calibri Light" w:cs="Calibri Light" w:asciiTheme="majorHAnsi" w:cstheme="majorHAnsi" w:hAnsiTheme="majorHAnsi"/>
          <w:i/>
          <w:i/>
          <w:iCs/>
          <w:kern w:val="0"/>
          <w:sz w:val="24"/>
          <w:szCs w:val="24"/>
        </w:rPr>
      </w:pPr>
      <w:r>
        <w:rPr>
          <w:rFonts w:cs="Calibri Light" w:ascii="Calibri Light" w:hAnsi="Calibri Light" w:asciiTheme="majorHAnsi" w:cstheme="majorHAnsi" w:hAnsiTheme="majorHAnsi"/>
          <w:i/>
          <w:iCs/>
          <w:kern w:val="0"/>
          <w:sz w:val="24"/>
          <w:szCs w:val="24"/>
        </w:rPr>
        <w:t xml:space="preserve">2.1.2. A prorrogação de que trata este item é condicionada ao ateste, pela autoridade competente, de que as condições e os preços permanecem vantajosos para a Administração, permitida a negociação com o contratado. </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Diante de tais condições, são necessárias as seguintes ponderações:</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Com relação ao termo inicial de vigência, torna-se mais razoável e adequado ao presente edital que seja vinculado à entrega dos primeiros veículos, notadamente, </w:t>
      </w:r>
      <w:bookmarkEnd w:id="8"/>
      <w:r>
        <w:rPr>
          <w:rFonts w:cs="Calibri Light" w:ascii="Calibri Light" w:hAnsi="Calibri Light" w:asciiTheme="majorHAnsi" w:cstheme="majorHAnsi" w:hAnsiTheme="majorHAnsi"/>
          <w:sz w:val="24"/>
          <w:szCs w:val="24"/>
        </w:rPr>
        <w:t>porque a partir da incorporação individual de cada veículo se iniciará a execução e, a partir deste fato, a medição dos serviços para faturamento deverá ser iniciada, resultando no prazo integral de locação considerado pelas partes.</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b/>
          <w:sz w:val="24"/>
          <w:szCs w:val="24"/>
        </w:rPr>
      </w:pPr>
      <w:r>
        <w:rPr>
          <w:rFonts w:cs="Calibri Light" w:ascii="Calibri Light" w:hAnsi="Calibri Light" w:asciiTheme="majorHAnsi" w:cstheme="majorHAnsi" w:hAnsiTheme="majorHAnsi"/>
          <w:sz w:val="24"/>
          <w:szCs w:val="24"/>
        </w:rPr>
        <w:t xml:space="preserve">Neste contexto, para garantir o período integral de 12 meses de locação e de execução é imprescindível que tanto “vigência contratual” quanto a respectiva “execução do contrato” se iniciem no mesmo marco temporal, qual seja, “a data de entrega dos </w:t>
      </w:r>
      <w:r>
        <w:rPr>
          <w:rFonts w:cs="Calibri Light" w:ascii="Calibri Light" w:hAnsi="Calibri Light" w:asciiTheme="majorHAnsi" w:cstheme="majorHAnsi" w:hAnsiTheme="majorHAnsi"/>
          <w:b/>
          <w:sz w:val="24"/>
          <w:szCs w:val="24"/>
          <w:u w:val="single"/>
        </w:rPr>
        <w:t>primeiros</w:t>
      </w:r>
      <w:r>
        <w:rPr>
          <w:rFonts w:cs="Calibri Light" w:ascii="Calibri Light" w:hAnsi="Calibri Light" w:asciiTheme="majorHAnsi" w:cstheme="majorHAnsi" w:hAnsiTheme="majorHAnsi"/>
          <w:b/>
          <w:sz w:val="24"/>
          <w:szCs w:val="24"/>
        </w:rPr>
        <w:t xml:space="preserve"> veículos”.</w:t>
      </w:r>
    </w:p>
    <w:p>
      <w:pPr>
        <w:pStyle w:val="ListParagraph"/>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Prosseguindo, no tocante à previsão do item 2.1.1 evidencia-se claro equívoco em sua inserção no edital, isso porque, pelo regramento do art. 111 da NLLC apenas a contratação de escopo predefinido será automaticamente prorrogada quando o objeto não for concluído no período firmado, portanto, não se aplica ao presente caso que tem por objeto a locação de veículos (serviços contínuos) e para o qual se aplica a previsão do art. 107 da mesma lei.</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u w:val="single"/>
        </w:rPr>
      </w:pPr>
      <w:r>
        <w:rPr>
          <w:rFonts w:cs="Calibri Light" w:ascii="Calibri Light" w:hAnsi="Calibri Light" w:asciiTheme="majorHAnsi" w:cstheme="majorHAnsi" w:hAnsiTheme="majorHAnsi"/>
          <w:sz w:val="24"/>
          <w:szCs w:val="24"/>
          <w:u w:val="single"/>
        </w:rPr>
        <w:t xml:space="preserve">Diante de tais circunstâncias, questiona-se: </w:t>
      </w:r>
    </w:p>
    <w:p>
      <w:pPr>
        <w:pStyle w:val="ListParagraph"/>
        <w:numPr>
          <w:ilvl w:val="0"/>
          <w:numId w:val="4"/>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o início da contagem da </w:t>
      </w:r>
      <w:r>
        <w:rPr>
          <w:rFonts w:cs="Calibri Light" w:ascii="Calibri Light" w:hAnsi="Calibri Light" w:asciiTheme="majorHAnsi" w:cstheme="majorHAnsi" w:hAnsiTheme="majorHAnsi"/>
          <w:b/>
          <w:bCs/>
          <w:sz w:val="24"/>
          <w:szCs w:val="24"/>
        </w:rPr>
        <w:t>VIGÊNCIA</w:t>
      </w:r>
      <w:r>
        <w:rPr>
          <w:rFonts w:cs="Calibri Light" w:ascii="Calibri Light" w:hAnsi="Calibri Light" w:asciiTheme="majorHAnsi" w:cstheme="majorHAnsi" w:hAnsiTheme="majorHAnsi"/>
          <w:sz w:val="24"/>
          <w:szCs w:val="24"/>
        </w:rPr>
        <w:t xml:space="preserve"> e da </w:t>
      </w:r>
      <w:r>
        <w:rPr>
          <w:rFonts w:cs="Calibri Light" w:ascii="Calibri Light" w:hAnsi="Calibri Light" w:asciiTheme="majorHAnsi" w:cstheme="majorHAnsi" w:hAnsiTheme="majorHAnsi"/>
          <w:b/>
          <w:sz w:val="24"/>
          <w:szCs w:val="24"/>
        </w:rPr>
        <w:t>EXECUÇÃO contratual</w:t>
      </w:r>
      <w:r>
        <w:rPr>
          <w:rFonts w:cs="Calibri Light" w:ascii="Calibri Light" w:hAnsi="Calibri Light" w:asciiTheme="majorHAnsi" w:cstheme="majorHAnsi" w:hAnsiTheme="majorHAnsi"/>
          <w:sz w:val="24"/>
          <w:szCs w:val="24"/>
        </w:rPr>
        <w:t xml:space="preserve"> pode ser alterado para constar que será a partir da “data de entrega </w:t>
      </w:r>
      <w:r>
        <w:rPr>
          <w:rFonts w:cs="Calibri Light" w:ascii="Calibri Light" w:hAnsi="Calibri Light" w:asciiTheme="majorHAnsi" w:cstheme="majorHAnsi" w:hAnsiTheme="majorHAnsi"/>
          <w:b/>
          <w:sz w:val="24"/>
          <w:szCs w:val="24"/>
        </w:rPr>
        <w:t>dos primeiros veículos</w:t>
      </w:r>
      <w:r>
        <w:rPr>
          <w:rFonts w:cs="Calibri Light" w:ascii="Calibri Light" w:hAnsi="Calibri Light" w:asciiTheme="majorHAnsi" w:cstheme="majorHAnsi" w:hAnsiTheme="majorHAnsi"/>
          <w:sz w:val="24"/>
          <w:szCs w:val="24"/>
        </w:rPr>
        <w:t xml:space="preserve">”? </w:t>
      </w:r>
      <w:r>
        <w:rPr>
          <w:rFonts w:cs="Calibri Light" w:ascii="Calibri Light" w:hAnsi="Calibri Light" w:asciiTheme="majorHAnsi" w:cstheme="majorHAnsi" w:hAnsiTheme="majorHAnsi"/>
          <w:b/>
          <w:bCs/>
          <w:color w:val="C9211E"/>
          <w:sz w:val="24"/>
          <w:szCs w:val="24"/>
        </w:rPr>
        <w:t>Não. É da data de assinatura do instrumento (que seja ata ou contrato).</w:t>
      </w:r>
    </w:p>
    <w:p>
      <w:pPr>
        <w:pStyle w:val="ListParagraph"/>
        <w:numPr>
          <w:ilvl w:val="0"/>
          <w:numId w:val="4"/>
        </w:numPr>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entendemos que as previsões dos itens 2.1.1. e 2.1.2 não se aplicam ao objeto licitado e deve ser desconsiderada. Está correto?  </w:t>
      </w:r>
      <w:r>
        <w:rPr>
          <w:rFonts w:cs="Calibri Light" w:ascii="Calibri Light" w:hAnsi="Calibri Light" w:asciiTheme="majorHAnsi" w:cstheme="majorHAnsi" w:hAnsiTheme="majorHAnsi"/>
          <w:b/>
          <w:bCs/>
          <w:color w:val="C9211E"/>
          <w:sz w:val="24"/>
          <w:szCs w:val="24"/>
        </w:rPr>
        <w:t>Seguimos minuta padrão e, por isso, tais itens, não serão suprimidos.</w:t>
      </w:r>
    </w:p>
    <w:p>
      <w:pPr>
        <w:pStyle w:val="ListParagraph"/>
        <w:snapToGrid w:val="false"/>
        <w:spacing w:lineRule="auto" w:line="240" w:before="0" w:after="0"/>
        <w:ind w:left="0"/>
        <w:contextualSpacing w:val="false"/>
        <w:jc w:val="both"/>
        <w:rPr>
          <w:rFonts w:ascii="Calibri Light" w:hAnsi="Calibri Light" w:cs="Calibri Light" w:asciiTheme="majorHAnsi" w:cstheme="majorHAnsi" w:hAnsiTheme="majorHAnsi"/>
          <w:b/>
          <w:sz w:val="24"/>
          <w:szCs w:val="24"/>
          <w:u w:val="single"/>
        </w:rPr>
      </w:pPr>
      <w:r>
        <w:rPr>
          <w:rFonts w:cs="Calibri Light" w:cstheme="majorHAnsi" w:ascii="Calibri Light" w:hAnsi="Calibri Light"/>
          <w:b/>
          <w:sz w:val="24"/>
          <w:szCs w:val="24"/>
          <w:u w:val="single"/>
        </w:rPr>
      </w:r>
      <w:bookmarkStart w:id="9" w:name="_Hlk167700571"/>
      <w:bookmarkStart w:id="10" w:name="_Hlk167700571"/>
      <w:bookmarkEnd w:id="10"/>
    </w:p>
    <w:p>
      <w:pPr>
        <w:pStyle w:val="ListParagraph"/>
        <w:snapToGrid w:val="false"/>
        <w:spacing w:lineRule="exact" w:line="360" w:before="120" w:after="160"/>
        <w:ind w:left="0"/>
        <w:contextualSpacing w:val="false"/>
        <w:jc w:val="both"/>
        <w:rPr>
          <w:rFonts w:ascii="Calibri Light" w:hAnsi="Calibri Light" w:cs="Calibri Light" w:asciiTheme="majorHAnsi" w:cstheme="majorHAnsi" w:hAnsiTheme="majorHAnsi"/>
          <w:b/>
          <w:bCs/>
          <w:sz w:val="24"/>
          <w:szCs w:val="24"/>
          <w:u w:val="single"/>
        </w:rPr>
      </w:pPr>
      <w:r>
        <w:rPr>
          <w:rFonts w:cs="Calibri Light" w:ascii="Calibri Light" w:hAnsi="Calibri Light" w:asciiTheme="majorHAnsi" w:cstheme="majorHAnsi" w:hAnsiTheme="majorHAnsi"/>
          <w:b/>
          <w:sz w:val="24"/>
          <w:szCs w:val="24"/>
          <w:u w:val="single"/>
        </w:rPr>
        <w:t>5-REAJUSTE DE PREÇOS</w:t>
      </w:r>
      <w:r>
        <w:rPr>
          <w:rFonts w:cs="Calibri Light" w:ascii="Calibri Light" w:hAnsi="Calibri Light" w:asciiTheme="majorHAnsi" w:cstheme="majorHAnsi" w:hAnsiTheme="majorHAnsi"/>
          <w:b/>
          <w:sz w:val="24"/>
          <w:szCs w:val="24"/>
        </w:rPr>
        <w:t>.</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color w:val="000000"/>
        </w:rPr>
      </w:pPr>
      <w:bookmarkStart w:id="11" w:name="_Hlk154492542"/>
      <w:bookmarkStart w:id="12" w:name="_Hlk167700571_Copia_1"/>
      <w:bookmarkEnd w:id="12"/>
      <w:r>
        <w:rPr>
          <w:rFonts w:cs="Calibri Light" w:ascii="Calibri Light" w:hAnsi="Calibri Light" w:asciiTheme="majorHAnsi" w:cstheme="majorHAnsi" w:hAnsiTheme="majorHAnsi"/>
          <w:color w:val="000000"/>
        </w:rPr>
        <w:t>O reajuste de preços tem caráter obrigatório e trata-se de direito constitucionalmente garantido à contratada nos termos do artigo 37, inc. XXI da Constituição Federal a fim de assegurar a manutenção das condições efetivas da proposta e garantir o equilíbrio econômico-financeiro dos contratos administrativos durante toda sua vigência.</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color w:val="000000"/>
        </w:rPr>
      </w:pPr>
      <w:r>
        <w:rPr>
          <w:rFonts w:cs="Calibri Light" w:ascii="Calibri Light" w:hAnsi="Calibri Light" w:asciiTheme="majorHAnsi" w:cstheme="majorHAnsi" w:hAnsiTheme="majorHAnsi"/>
          <w:color w:val="000000"/>
        </w:rPr>
        <w:t>Além disso, o reajustamento de preços está entre o rol de cláusulas obrigatórias em todos os contratos, sendo certo que, no âmbito das contratações realizadas sob a égide da nova Lei de Licitações, o reajustamento dos preços deve ter data base vinculada à data do orçamento estimado para licitação, conforme se depreende da leitura do artigo 92, § 3º da Lei 14.133/2021.</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color w:val="000000"/>
        </w:rPr>
      </w:pPr>
      <w:r>
        <w:rPr>
          <w:rFonts w:cs="Calibri Light" w:ascii="Calibri Light" w:hAnsi="Calibri Light" w:asciiTheme="majorHAnsi" w:cstheme="majorHAnsi" w:hAnsiTheme="majorHAnsi"/>
          <w:color w:val="000000"/>
        </w:rPr>
        <w:t>Com efeito, todas as condições da futura contratação devem ser previamente estabelecidas no edital, notadamente, quanto ao reajustamento de preços, data base e respectivo índice que deverá ser aplicado durante as contratações.</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color w:val="000000"/>
        </w:rPr>
      </w:pPr>
      <w:r>
        <w:rPr>
          <w:rFonts w:cs="Calibri Light" w:ascii="Calibri Light" w:hAnsi="Calibri Light" w:asciiTheme="majorHAnsi" w:cstheme="majorHAnsi" w:hAnsiTheme="majorHAnsi"/>
          <w:color w:val="000000"/>
        </w:rPr>
        <w:t>Todavia, o edital em referência não indica expressamente a data base do orçamento estimado, caracterizando omissão que macula a legalidade e isonomia do certame.</w:t>
      </w:r>
    </w:p>
    <w:p>
      <w:pPr>
        <w:pStyle w:val="PlainText"/>
        <w:snapToGrid w:val="false"/>
        <w:spacing w:lineRule="exact" w:line="360" w:before="120" w:after="160"/>
        <w:ind w:firstLine="567"/>
        <w:jc w:val="both"/>
        <w:rPr>
          <w:rFonts w:ascii="Calibri Light" w:hAnsi="Calibri Light" w:cs="Calibri Light" w:asciiTheme="majorHAnsi" w:cstheme="majorHAnsi" w:hAnsiTheme="majorHAnsi"/>
          <w:b/>
          <w:bCs/>
          <w:sz w:val="24"/>
          <w:szCs w:val="24"/>
          <w:lang w:eastAsia="pt-BR"/>
        </w:rPr>
      </w:pPr>
      <w:r>
        <w:rPr>
          <w:rFonts w:cs="Calibri Light" w:ascii="Calibri Light" w:hAnsi="Calibri Light" w:asciiTheme="majorHAnsi" w:cstheme="majorHAnsi" w:hAnsiTheme="majorHAnsi"/>
          <w:sz w:val="24"/>
          <w:szCs w:val="24"/>
        </w:rPr>
        <w:t>Diante do exposto, para fins de reajustamento dos preços, questiona-se:</w:t>
      </w:r>
    </w:p>
    <w:p>
      <w:pPr>
        <w:pStyle w:val="ListParagraph"/>
        <w:numPr>
          <w:ilvl w:val="0"/>
          <w:numId w:val="16"/>
        </w:numPr>
        <w:snapToGrid w:val="false"/>
        <w:spacing w:lineRule="exact" w:line="360" w:before="120" w:after="160"/>
        <w:contextualSpacing w:val="false"/>
        <w:jc w:val="both"/>
        <w:rPr>
          <w:rFonts w:ascii="Calibri Light" w:hAnsi="Calibri Light" w:cs="Calibri Light" w:asciiTheme="majorHAnsi" w:cstheme="majorHAnsi" w:hAnsiTheme="majorHAnsi"/>
          <w:b/>
          <w:sz w:val="24"/>
          <w:szCs w:val="24"/>
          <w:u w:val="single"/>
        </w:rPr>
      </w:pPr>
      <w:r>
        <w:rPr>
          <w:rFonts w:cs="Calibri Light" w:ascii="Calibri Light" w:hAnsi="Calibri Light" w:asciiTheme="majorHAnsi" w:cstheme="majorHAnsi" w:hAnsiTheme="majorHAnsi"/>
          <w:bCs/>
          <w:sz w:val="24"/>
          <w:szCs w:val="24"/>
        </w:rPr>
        <w:t xml:space="preserve">Qual a </w:t>
      </w:r>
      <w:r>
        <w:rPr>
          <w:rFonts w:cs="Calibri Light" w:ascii="Calibri Light" w:hAnsi="Calibri Light" w:asciiTheme="majorHAnsi" w:cstheme="majorHAnsi" w:hAnsiTheme="majorHAnsi"/>
          <w:b/>
          <w:bCs/>
          <w:sz w:val="24"/>
          <w:szCs w:val="24"/>
        </w:rPr>
        <w:t>data base do orçamento estimado</w:t>
      </w:r>
      <w:r>
        <w:rPr>
          <w:rFonts w:cs="Calibri Light" w:ascii="Calibri Light" w:hAnsi="Calibri Light" w:asciiTheme="majorHAnsi" w:cstheme="majorHAnsi" w:hAnsiTheme="majorHAnsi"/>
          <w:bCs/>
          <w:sz w:val="24"/>
          <w:szCs w:val="24"/>
        </w:rPr>
        <w:t xml:space="preserve"> pela Administração Pública para a presente licitação?</w:t>
      </w:r>
      <w:bookmarkEnd w:id="11"/>
      <w:r>
        <w:rPr>
          <w:rFonts w:cs="Calibri Light" w:ascii="Calibri Light" w:hAnsi="Calibri Light" w:asciiTheme="majorHAnsi" w:cstheme="majorHAnsi" w:hAnsiTheme="majorHAnsi"/>
          <w:b/>
          <w:bCs/>
          <w:sz w:val="24"/>
          <w:szCs w:val="24"/>
          <w:u w:val="single"/>
        </w:rPr>
        <w:t xml:space="preserve"> </w:t>
      </w:r>
      <w:r>
        <w:rPr>
          <w:rFonts w:cs="Calibri Light" w:ascii="Calibri Light" w:hAnsi="Calibri Light" w:asciiTheme="majorHAnsi" w:cstheme="majorHAnsi" w:hAnsiTheme="majorHAnsi"/>
          <w:b/>
          <w:bCs/>
          <w:color w:val="C9211E"/>
          <w:sz w:val="24"/>
          <w:szCs w:val="24"/>
          <w:u w:val="none"/>
        </w:rPr>
        <w:t>Março de 2024</w:t>
      </w:r>
      <w:r>
        <w:rPr>
          <w:rFonts w:cs="Calibri Light" w:ascii="Calibri Light" w:hAnsi="Calibri Light" w:asciiTheme="majorHAnsi" w:cstheme="majorHAnsi" w:hAnsiTheme="majorHAnsi"/>
          <w:b/>
          <w:bCs/>
          <w:color w:val="C9211E"/>
          <w:sz w:val="24"/>
          <w:szCs w:val="24"/>
          <w:u w:val="single"/>
        </w:rPr>
        <w:t>.</w:t>
      </w:r>
    </w:p>
    <w:p>
      <w:pPr>
        <w:pStyle w:val="ListParagraph"/>
        <w:numPr>
          <w:ilvl w:val="0"/>
          <w:numId w:val="17"/>
        </w:numPr>
        <w:snapToGrid w:val="false"/>
        <w:spacing w:lineRule="exact" w:line="360" w:before="120" w:after="160"/>
        <w:contextualSpacing w:val="false"/>
        <w:jc w:val="both"/>
        <w:rPr>
          <w:rFonts w:ascii="Calibri Light" w:hAnsi="Calibri Light" w:cs="Calibri Light" w:asciiTheme="majorHAnsi" w:cstheme="majorHAnsi" w:hAnsiTheme="majorHAnsi"/>
          <w:b/>
          <w:sz w:val="24"/>
          <w:szCs w:val="24"/>
          <w:u w:val="single"/>
        </w:rPr>
      </w:pPr>
      <w:r>
        <w:rPr>
          <w:rFonts w:cs="Calibri Light" w:ascii="Calibri Light" w:hAnsi="Calibri Light" w:asciiTheme="majorHAnsi" w:cstheme="majorHAnsi" w:hAnsiTheme="majorHAnsi"/>
          <w:bCs/>
          <w:sz w:val="24"/>
          <w:szCs w:val="24"/>
        </w:rPr>
        <w:t>Os preços serão reajustados após 01 ano da data do orçamento estimado e após 12 meses para as demais concessões, sucessivamente até o final da contratação. Está correto?</w:t>
      </w:r>
      <w:r>
        <w:rPr>
          <w:rFonts w:cs="Calibri Light" w:ascii="Calibri Light" w:hAnsi="Calibri Light" w:asciiTheme="majorHAnsi" w:cstheme="majorHAnsi" w:hAnsiTheme="majorHAnsi"/>
          <w:b/>
          <w:bCs/>
          <w:sz w:val="24"/>
          <w:szCs w:val="24"/>
          <w:u w:val="single"/>
        </w:rPr>
        <w:t xml:space="preserve"> </w:t>
      </w:r>
      <w:r>
        <w:rPr>
          <w:rFonts w:cs="Calibri Light" w:ascii="Calibri Light" w:hAnsi="Calibri Light" w:asciiTheme="majorHAnsi" w:cstheme="majorHAnsi" w:hAnsiTheme="majorHAnsi"/>
          <w:b/>
          <w:bCs/>
          <w:color w:val="C9211E"/>
          <w:sz w:val="24"/>
          <w:szCs w:val="24"/>
          <w:u w:val="none"/>
        </w:rPr>
        <w:t xml:space="preserve">Não. </w:t>
      </w:r>
      <w:r>
        <w:rPr>
          <w:rFonts w:cs="Calibri Light" w:ascii="Calibri Light" w:hAnsi="Calibri Light" w:asciiTheme="majorHAnsi" w:cstheme="majorHAnsi" w:hAnsiTheme="majorHAnsi"/>
          <w:b/>
          <w:bCs/>
          <w:color w:val="C9211E"/>
          <w:sz w:val="24"/>
          <w:szCs w:val="24"/>
          <w:u w:val="none"/>
        </w:rPr>
        <w:t>P</w:t>
      </w:r>
      <w:r>
        <w:rPr>
          <w:rFonts w:cs="Calibri Light" w:ascii="Calibri Light" w:hAnsi="Calibri Light" w:asciiTheme="majorHAnsi" w:cstheme="majorHAnsi" w:hAnsiTheme="majorHAnsi"/>
          <w:b/>
          <w:bCs/>
          <w:color w:val="C9211E"/>
          <w:sz w:val="24"/>
          <w:szCs w:val="24"/>
          <w:u w:val="none"/>
        </w:rPr>
        <w:t>ois os preços registrados serão mantidos pelo prazo de 12 meses.</w:t>
      </w:r>
    </w:p>
    <w:p>
      <w:pPr>
        <w:pStyle w:val="ListParagraph"/>
        <w:snapToGrid w:val="false"/>
        <w:spacing w:lineRule="auto" w:line="240" w:before="0" w:after="0"/>
        <w:ind w:left="0"/>
        <w:contextualSpacing w:val="false"/>
        <w:jc w:val="both"/>
        <w:rPr>
          <w:rFonts w:ascii="Calibri Light" w:hAnsi="Calibri Light" w:cs="Calibri Light" w:asciiTheme="majorHAnsi" w:cstheme="majorHAnsi" w:hAnsiTheme="majorHAnsi"/>
          <w:b/>
          <w:bCs/>
          <w:sz w:val="24"/>
          <w:szCs w:val="24"/>
          <w:u w:val="single"/>
        </w:rPr>
      </w:pPr>
      <w:r>
        <w:rPr>
          <w:rFonts w:cs="Calibri Light" w:cstheme="majorHAnsi" w:ascii="Calibri Light" w:hAnsi="Calibri Light"/>
          <w:b/>
          <w:bCs/>
          <w:sz w:val="24"/>
          <w:szCs w:val="24"/>
          <w:u w:val="single"/>
        </w:rPr>
      </w:r>
    </w:p>
    <w:p>
      <w:pPr>
        <w:pStyle w:val="ListParagraph"/>
        <w:snapToGrid w:val="false"/>
        <w:spacing w:lineRule="exact" w:line="360" w:before="120" w:after="160"/>
        <w:ind w:left="0"/>
        <w:contextualSpacing w:val="false"/>
        <w:jc w:val="both"/>
        <w:rPr>
          <w:rFonts w:ascii="Calibri Light" w:hAnsi="Calibri Light" w:cs="Calibri Light" w:asciiTheme="majorHAnsi" w:cstheme="majorHAnsi" w:hAnsiTheme="majorHAnsi"/>
          <w:b/>
          <w:bCs/>
          <w:sz w:val="24"/>
          <w:szCs w:val="24"/>
        </w:rPr>
      </w:pPr>
      <w:r>
        <w:rPr>
          <w:rFonts w:cs="Calibri Light" w:ascii="Calibri Light" w:hAnsi="Calibri Light" w:asciiTheme="majorHAnsi" w:cstheme="majorHAnsi" w:hAnsiTheme="majorHAnsi"/>
          <w:b/>
          <w:bCs/>
          <w:sz w:val="24"/>
          <w:szCs w:val="24"/>
          <w:u w:val="single"/>
        </w:rPr>
        <w:t>6-RESPONSABILIDADE PELOS DANOS CAUSADOS NOS VEÍCULOS</w:t>
      </w:r>
      <w:r>
        <w:rPr>
          <w:rFonts w:cs="Calibri Light" w:ascii="Calibri Light" w:hAnsi="Calibri Light" w:asciiTheme="majorHAnsi" w:cstheme="majorHAnsi" w:hAnsiTheme="majorHAnsi"/>
          <w:b/>
          <w:bCs/>
          <w:sz w:val="24"/>
          <w:szCs w:val="24"/>
        </w:rPr>
        <w:t>.</w:t>
      </w:r>
    </w:p>
    <w:p>
      <w:pPr>
        <w:pStyle w:val="Normal"/>
        <w:tabs>
          <w:tab w:val="clear" w:pos="708"/>
          <w:tab w:val="left" w:pos="10206" w:leader="none"/>
        </w:tabs>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sz w:val="24"/>
          <w:szCs w:val="24"/>
        </w:rPr>
        <w:t xml:space="preserve">A licitante destaca que não poderá ser responsabilizada </w:t>
      </w:r>
      <w:r>
        <w:rPr>
          <w:rFonts w:cs="Calibri Light" w:ascii="Calibri Light" w:hAnsi="Calibri Light" w:asciiTheme="majorHAnsi" w:cstheme="majorHAnsi" w:hAnsiTheme="majorHAnsi"/>
          <w:bCs/>
          <w:sz w:val="24"/>
          <w:szCs w:val="24"/>
        </w:rPr>
        <w:t>por qualquer dano causado pelos agentes da Contratante decorrentes de dolo ou culpa ou de atos ilícitos praticados pelos mesmos, na forma do artigo 37, §6º, da Constituição Federal.</w:t>
      </w:r>
    </w:p>
    <w:p>
      <w:pPr>
        <w:pStyle w:val="Normal"/>
        <w:tabs>
          <w:tab w:val="clear" w:pos="708"/>
          <w:tab w:val="left" w:pos="10206" w:leader="none"/>
        </w:tabs>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 xml:space="preserve"> </w:t>
      </w:r>
      <w:r>
        <w:rPr>
          <w:rFonts w:cs="Calibri Light" w:ascii="Calibri Light" w:hAnsi="Calibri Light" w:asciiTheme="majorHAnsi" w:cstheme="majorHAnsi" w:hAnsiTheme="majorHAnsi"/>
          <w:bCs/>
          <w:sz w:val="24"/>
          <w:szCs w:val="24"/>
        </w:rPr>
        <w:t>Assim, questiona-se:</w:t>
      </w:r>
    </w:p>
    <w:p>
      <w:pPr>
        <w:pStyle w:val="ListParagraph"/>
        <w:numPr>
          <w:ilvl w:val="0"/>
          <w:numId w:val="2"/>
        </w:numPr>
        <w:tabs>
          <w:tab w:val="clear" w:pos="708"/>
          <w:tab w:val="left" w:pos="10206"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bCs/>
          <w:sz w:val="24"/>
          <w:szCs w:val="24"/>
        </w:rPr>
        <w:t>A contratante irá ressarcir os danos mecânicos nos veículos causados por seus prepostos em decorrência de dolo, culpa ou mau uso? Neste caso, qual será o procedimento para apuração dos danos e ressarcimento dos valores devidos pelos danos e avarias?</w:t>
      </w:r>
    </w:p>
    <w:p>
      <w:pPr>
        <w:pStyle w:val="ListParagraph"/>
        <w:numPr>
          <w:ilvl w:val="0"/>
          <w:numId w:val="2"/>
        </w:numPr>
        <w:tabs>
          <w:tab w:val="clear" w:pos="708"/>
          <w:tab w:val="left" w:pos="10206"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bCs/>
          <w:sz w:val="24"/>
          <w:szCs w:val="24"/>
        </w:rPr>
        <w:t>A</w:t>
      </w:r>
      <w:r>
        <w:rPr>
          <w:rFonts w:cs="Calibri Light" w:ascii="Calibri Light" w:hAnsi="Calibri Light" w:asciiTheme="majorHAnsi" w:cstheme="majorHAnsi" w:hAnsiTheme="majorHAnsi"/>
          <w:sz w:val="24"/>
          <w:szCs w:val="24"/>
        </w:rPr>
        <w:t>s manutenções decorrentes de mau uso dos veículos causadas por condutores da contratante serão de sua responsabilidade? Neste caso, qual prazo e procedimento serão observados pela Contratante para ressarcimento da Contratada?</w:t>
      </w:r>
    </w:p>
    <w:p>
      <w:pPr>
        <w:pStyle w:val="ListParagraph"/>
        <w:numPr>
          <w:ilvl w:val="0"/>
          <w:numId w:val="2"/>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As avarias causadas nos veículos por culpa ou dolo dos condutores da contratante serão de sua responsabilidade? Neste caso, qual prazo e procedimento serão observados pela Contratante para ressarcimento da Contratada?</w:t>
      </w:r>
      <w:bookmarkStart w:id="13" w:name="_Hlk110604840"/>
    </w:p>
    <w:p>
      <w:pPr>
        <w:pStyle w:val="ListParagraph"/>
        <w:numPr>
          <w:ilvl w:val="0"/>
          <w:numId w:val="2"/>
        </w:numPr>
        <w:snapToGrid w:val="false"/>
        <w:spacing w:lineRule="exact" w:line="360" w:before="120" w:after="16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Considerando que o condutor do veículo sinistrado terá contato direto com o terceiro envolvido no acidente, entendemos que ele será o responsável pela instauração do boletim de ocorrência e pela obtenção dos documentos do terceiro envolvido a fim de viabilizar a instauração dos procedimentos para eventual ressarcimento do dano. Está correto nosso entendimento?</w:t>
      </w:r>
    </w:p>
    <w:p>
      <w:pPr>
        <w:pStyle w:val="ListParagraph"/>
        <w:numPr>
          <w:ilvl w:val="0"/>
          <w:numId w:val="0"/>
        </w:numPr>
        <w:snapToGrid w:val="false"/>
        <w:spacing w:lineRule="exact" w:line="360" w:before="120" w:after="160"/>
        <w:ind w:hanging="0" w:left="927"/>
        <w:contextualSpacing w:val="false"/>
        <w:jc w:val="both"/>
        <w:rPr>
          <w:b/>
          <w:bCs/>
          <w:color w:val="C9211E"/>
        </w:rPr>
      </w:pPr>
      <w:r>
        <w:rPr>
          <w:b/>
          <w:bCs/>
          <w:color w:val="C9211E"/>
        </w:rPr>
        <w:t>“</w:t>
      </w:r>
      <w:r>
        <w:rPr>
          <w:b/>
          <w:bCs/>
          <w:color w:val="C9211E"/>
        </w:rPr>
        <w:t>Preceitua o art. 37, § 6º, da Constituição Federal: é objetiva a responsabilidade das pessoas jurídicas de direito privado prestadoras de serviços públicos, pelos danos causados a terceiros, com base na teoria do risco administrativo. Ainda assim, é importante salientar que estamos no quarto ano de licitação para locação de veículo da PMP/MG não tendo sido registrado qualquer ocorrência nesse sentido, além do mais todos os veículos locados foram devolvidos dentro do prazo legal e em perfeitas condições de funcionamento, mecânica. casco, etc. No caso de acidente, avaria no veículo, o servidor da PMP/MG se incumbirá de fazer o devido boletim de ocorrência que deverá ser avaliado, e, imediatamente encaminhado à contratada para as devidas providências junto à seguradora, constatando a culpa ou dolo do condutor da contratante, a mesma se responsabilizará pelo ressarcimento dos valores envolvidos”.</w:t>
      </w:r>
    </w:p>
    <w:p>
      <w:pPr>
        <w:pStyle w:val="Normal"/>
        <w:snapToGrid w:val="false"/>
        <w:spacing w:lineRule="auto" w:line="240" w:before="0" w:after="0"/>
        <w:jc w:val="both"/>
        <w:rPr>
          <w:rFonts w:ascii="Calibri Light" w:hAnsi="Calibri Light" w:cs="Calibri Light" w:asciiTheme="majorHAnsi" w:cstheme="majorHAnsi" w:hAnsiTheme="majorHAnsi"/>
          <w:b/>
          <w:bCs/>
          <w:sz w:val="24"/>
          <w:szCs w:val="24"/>
          <w:u w:val="single"/>
        </w:rPr>
      </w:pPr>
      <w:r>
        <w:rPr>
          <w:rFonts w:cs="Calibri Light" w:cstheme="majorHAnsi" w:ascii="Calibri Light" w:hAnsi="Calibri Light"/>
          <w:b/>
          <w:bCs/>
          <w:sz w:val="24"/>
          <w:szCs w:val="24"/>
          <w:u w:val="single"/>
        </w:rPr>
      </w:r>
    </w:p>
    <w:p>
      <w:pPr>
        <w:pStyle w:val="Normal"/>
        <w:snapToGrid w:val="false"/>
        <w:spacing w:lineRule="exact" w:line="360" w:before="120" w:after="160"/>
        <w:jc w:val="both"/>
        <w:rPr>
          <w:rFonts w:ascii="Calibri Light" w:hAnsi="Calibri Light" w:cs="Calibri Light" w:asciiTheme="majorHAnsi" w:cstheme="majorHAnsi" w:hAnsiTheme="majorHAnsi"/>
          <w:b/>
          <w:bCs/>
          <w:sz w:val="24"/>
          <w:szCs w:val="24"/>
          <w:u w:val="single"/>
        </w:rPr>
      </w:pPr>
      <w:bookmarkStart w:id="14" w:name="_Hlk50043426"/>
      <w:bookmarkStart w:id="15" w:name="_Hlk132040398"/>
      <w:bookmarkStart w:id="16" w:name="_Hlk100067168"/>
      <w:r>
        <w:rPr>
          <w:rFonts w:cs="Calibri Light" w:ascii="Calibri Light" w:hAnsi="Calibri Light" w:asciiTheme="majorHAnsi" w:cstheme="majorHAnsi" w:hAnsiTheme="majorHAnsi"/>
          <w:b/>
          <w:bCs/>
          <w:sz w:val="24"/>
          <w:szCs w:val="24"/>
          <w:u w:val="single"/>
        </w:rPr>
        <w:t>7-SEGURO.</w:t>
      </w:r>
      <w:bookmarkEnd w:id="13"/>
      <w:bookmarkEnd w:id="14"/>
      <w:bookmarkEnd w:id="15"/>
      <w:bookmarkEnd w:id="16"/>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O Edital prevê que os veículos deverão ser totalmente segurados, e indica quais coberturas devem ser comtempladas, conforme se destaca do item 5.9 do TR:</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5.9. A cobertura do seguro deverá contemplar, ainda:</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a) acessórios referentes a imagem e som;</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b) opcionais não originais de fábrica;</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c) blindagem;</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d) carro reserva;</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e) danos aos vidros (básica, blindados e top plus);</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f) reboque de veículos;</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g) extensão da garantia de reposição pelo valor de novo para Veículo 0km por 180 dias em caso de incêndio, roubo ou furto;</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h) extensão da garantia de reposição pelo valor de novo para Veículo 0km por 12 (doze) meses no caso de colisão;</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i) indenização por imobilização do veículo segurado e do terceiro eventualmente atingido;</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j) indenização por perda de faturamento;</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k) reembolso de despesas extras;</w:t>
      </w:r>
    </w:p>
    <w:p>
      <w:pPr>
        <w:pStyle w:val="Normal"/>
        <w:snapToGrid w:val="false"/>
        <w:spacing w:lineRule="exact" w:line="300" w:before="0" w:after="0"/>
        <w:ind w:left="851"/>
        <w:jc w:val="both"/>
        <w:rPr>
          <w:rFonts w:ascii="Calibri Light" w:hAnsi="Calibri Light" w:cs="Calibri Light" w:asciiTheme="majorHAnsi" w:cstheme="majorHAnsi" w:hAnsiTheme="majorHAnsi"/>
          <w:i/>
          <w:i/>
          <w:iCs/>
          <w:sz w:val="24"/>
          <w:szCs w:val="24"/>
        </w:rPr>
      </w:pPr>
      <w:r>
        <w:rPr>
          <w:rFonts w:cs="Calibri Light" w:ascii="Calibri Light" w:hAnsi="Calibri Light" w:asciiTheme="majorHAnsi" w:cstheme="majorHAnsi" w:hAnsiTheme="majorHAnsi"/>
          <w:i/>
          <w:iCs/>
          <w:sz w:val="24"/>
          <w:szCs w:val="24"/>
        </w:rPr>
        <w:t>l) reposição de indumentária de proteção.</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bookmarkStart w:id="17" w:name="_Hlk107319050"/>
      <w:bookmarkStart w:id="18" w:name="_Hlk107320421"/>
      <w:bookmarkStart w:id="19" w:name="_Hlk126668324"/>
      <w:bookmarkStart w:id="20" w:name="_Hlk156305839"/>
      <w:bookmarkEnd w:id="17"/>
      <w:bookmarkEnd w:id="18"/>
      <w:bookmarkEnd w:id="19"/>
      <w:bookmarkEnd w:id="20"/>
      <w:r>
        <w:rPr>
          <w:rFonts w:cs="Calibri Light" w:ascii="Calibri Light" w:hAnsi="Calibri Light" w:asciiTheme="majorHAnsi" w:cstheme="majorHAnsi" w:hAnsiTheme="majorHAnsi"/>
          <w:sz w:val="24"/>
          <w:szCs w:val="24"/>
        </w:rPr>
        <w:t>De início, cumpre salientar que algumas exigências de cobertura não são relacionadas ao objeto da presente licitação, tendo em vista que o edital não exige veículos blindados ou instalação de acessórios, tampouco prevê locação de motocicletas, para justificar a exigência de cobertura de reposição de indumentária de proteção.</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Neste cenário, evidencia-se claro equívoco nas coberturas citadas no item acima, devendo ser consideradas apenas as aplicáveis ao presente caso considerando os veículos objeto da licitação.</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Ademais, considerando que os veículos serão de responsabilidade da contratada, entendemos que a gestão quanto ao fornecimento ou não de seguros por meio de apólice deveria ser avaliada por cada licitante propiciando maior flexibilidade para precificação de suas propostas, com benefícios para a Contratante em razão da ampliação da disputa em busca do menor preço para a contratação.</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Oportuno dizer que tal hipótese não exime a contratada de assumir as responsabilidades relacionadas ao seguro, muito pelo contrário, apenas lhe confere a opção de assumir tal obrigação por meio de declaração própria, sem a necessidade de contratar seguradora no mercado.</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Frise-se, a contratada será responsável pelas obrigações relacionadas ao seguro observando as condições previstas no edital.</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Desta forma, questiona-se:</w:t>
      </w:r>
    </w:p>
    <w:p>
      <w:pPr>
        <w:pStyle w:val="ListParagraph"/>
        <w:numPr>
          <w:ilvl w:val="0"/>
          <w:numId w:val="5"/>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A</w:t>
      </w:r>
      <w:r>
        <w:rPr>
          <w:rFonts w:eastAsia="Arial" w:cs="Calibri Light" w:ascii="Calibri Light" w:hAnsi="Calibri Light" w:asciiTheme="majorHAnsi" w:cstheme="majorHAnsi" w:hAnsiTheme="majorHAnsi"/>
          <w:sz w:val="24"/>
          <w:szCs w:val="24"/>
        </w:rPr>
        <w:t xml:space="preserve"> Contratada poderá optar pela autogestão para assumir a responsabilidade relacionada ao seguro dos veículos?  </w:t>
      </w:r>
      <w:r>
        <w:rPr>
          <w:rFonts w:eastAsia="Arial" w:cs="Calibri Light" w:ascii="Calibri Light" w:hAnsi="Calibri Light" w:asciiTheme="majorHAnsi" w:cstheme="majorHAnsi" w:hAnsiTheme="majorHAnsi"/>
          <w:b/>
          <w:bCs/>
          <w:color w:val="C9211E"/>
          <w:sz w:val="24"/>
          <w:szCs w:val="24"/>
        </w:rPr>
        <w:t>Não.</w:t>
      </w:r>
    </w:p>
    <w:p>
      <w:pPr>
        <w:pStyle w:val="ListParagraph"/>
        <w:numPr>
          <w:ilvl w:val="0"/>
          <w:numId w:val="5"/>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Caso a resposta ao item acima seja negativa, a Contratada poderá, ao menos, optar pela autogestão para assumir a responsabilidade pelo casco dos veículos? </w:t>
      </w:r>
      <w:r>
        <w:rPr>
          <w:rFonts w:cs="Calibri Light" w:ascii="Calibri Light" w:hAnsi="Calibri Light" w:asciiTheme="majorHAnsi" w:cstheme="majorHAnsi" w:hAnsiTheme="majorHAnsi"/>
          <w:b/>
          <w:bCs/>
          <w:color w:val="C9211E"/>
          <w:sz w:val="24"/>
          <w:szCs w:val="24"/>
        </w:rPr>
        <w:t>Não</w:t>
      </w:r>
      <w:r>
        <w:rPr>
          <w:rFonts w:cs="Calibri Light" w:ascii="Calibri Light" w:hAnsi="Calibri Light" w:asciiTheme="majorHAnsi" w:cstheme="majorHAnsi" w:hAnsiTheme="majorHAnsi"/>
          <w:sz w:val="24"/>
          <w:szCs w:val="24"/>
        </w:rPr>
        <w:t>.</w:t>
      </w:r>
    </w:p>
    <w:p>
      <w:pPr>
        <w:pStyle w:val="ListParagraph"/>
        <w:numPr>
          <w:ilvl w:val="0"/>
          <w:numId w:val="5"/>
        </w:numPr>
        <w:snapToGrid w:val="false"/>
        <w:spacing w:lineRule="exact" w:line="360" w:before="120" w:after="160"/>
        <w:contextualSpacing w:val="false"/>
        <w:jc w:val="left"/>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Entendemos que as regras de cobertura para itens/objetos não exigidos no edital foram equivocadas e devem ser desconsideradas. Está correto nosso entendimento? </w:t>
      </w:r>
      <w:r>
        <w:rPr>
          <w:rFonts w:cs="Calibri Light" w:ascii="Calibri Light" w:hAnsi="Calibri Light" w:asciiTheme="majorHAnsi" w:cstheme="majorHAnsi" w:hAnsiTheme="majorHAnsi"/>
          <w:b/>
          <w:bCs/>
          <w:color w:val="C9211E"/>
          <w:sz w:val="24"/>
          <w:szCs w:val="24"/>
        </w:rPr>
        <w:t>Não entendemos o questionamento!</w:t>
      </w:r>
    </w:p>
    <w:p>
      <w:pPr>
        <w:pStyle w:val="Normal"/>
        <w:snapToGrid w:val="false"/>
        <w:spacing w:lineRule="auto" w:line="240" w:before="0" w:after="0"/>
        <w:jc w:val="both"/>
        <w:rPr>
          <w:rFonts w:ascii="Calibri Light" w:hAnsi="Calibri Light" w:cs="Calibri Light" w:asciiTheme="majorHAnsi" w:cstheme="majorHAnsi" w:hAnsiTheme="majorHAnsi"/>
          <w:b/>
          <w:bCs/>
          <w:sz w:val="24"/>
          <w:szCs w:val="24"/>
          <w:u w:val="single"/>
        </w:rPr>
      </w:pPr>
      <w:r>
        <w:rPr>
          <w:rFonts w:cs="Calibri Light" w:cstheme="majorHAnsi" w:ascii="Calibri Light" w:hAnsi="Calibri Light"/>
          <w:b/>
          <w:bCs/>
          <w:sz w:val="24"/>
          <w:szCs w:val="24"/>
          <w:u w:val="single"/>
        </w:rPr>
      </w:r>
      <w:bookmarkStart w:id="21" w:name="_Hlk147741577"/>
      <w:bookmarkStart w:id="22" w:name="_Hlk107319050_Copia_1"/>
      <w:bookmarkStart w:id="23" w:name="_Hlk107320421_Copia_1"/>
      <w:bookmarkStart w:id="24" w:name="_Hlk126668324_Copia_1"/>
      <w:bookmarkStart w:id="25" w:name="_Hlk156305839_Copia_1"/>
      <w:bookmarkStart w:id="26" w:name="_Hlk147741577"/>
      <w:bookmarkStart w:id="27" w:name="_Hlk107319050_Copia_1"/>
      <w:bookmarkStart w:id="28" w:name="_Hlk107320421_Copia_1"/>
      <w:bookmarkStart w:id="29" w:name="_Hlk126668324_Copia_1"/>
      <w:bookmarkStart w:id="30" w:name="_Hlk156305839_Copia_1"/>
      <w:bookmarkEnd w:id="27"/>
      <w:bookmarkEnd w:id="28"/>
      <w:bookmarkEnd w:id="29"/>
      <w:bookmarkEnd w:id="30"/>
    </w:p>
    <w:p>
      <w:pPr>
        <w:pStyle w:val="ListParagraph"/>
        <w:snapToGrid w:val="false"/>
        <w:spacing w:lineRule="exact" w:line="360" w:before="120" w:after="160"/>
        <w:ind w:left="0"/>
        <w:contextualSpacing w:val="false"/>
        <w:jc w:val="both"/>
        <w:rPr>
          <w:rFonts w:ascii="Calibri Light" w:hAnsi="Calibri Light" w:cs="Calibri Light" w:asciiTheme="majorHAnsi" w:cstheme="majorHAnsi" w:hAnsiTheme="majorHAnsi"/>
          <w:b/>
          <w:sz w:val="24"/>
          <w:szCs w:val="24"/>
          <w:u w:val="single"/>
        </w:rPr>
      </w:pPr>
      <w:r>
        <w:rPr>
          <w:rFonts w:cs="Calibri Light" w:ascii="Calibri Light" w:hAnsi="Calibri Light" w:asciiTheme="majorHAnsi" w:cstheme="majorHAnsi" w:hAnsiTheme="majorHAnsi"/>
          <w:b/>
          <w:sz w:val="24"/>
          <w:szCs w:val="24"/>
          <w:u w:val="single"/>
        </w:rPr>
        <w:t>8-SUBCONTRATAÇÃO.</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bookmarkStart w:id="31" w:name="_Hlk122947929"/>
      <w:r>
        <w:rPr>
          <w:rFonts w:cs="Calibri Light" w:ascii="Calibri Light" w:hAnsi="Calibri Light" w:asciiTheme="majorHAnsi" w:cstheme="majorHAnsi" w:hAnsiTheme="majorHAnsi"/>
          <w:sz w:val="24"/>
          <w:szCs w:val="24"/>
        </w:rPr>
        <w:t>Quanto ao tema, o instrumento convocatório permite a subcontratação parcial do objeto mediante autorização prévia.</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É importante dizer que inúmeros serviços acessórios relacionados ao objeto principal são usualmente </w:t>
      </w:r>
      <w:r>
        <w:rPr>
          <w:rFonts w:cs="Calibri Light" w:ascii="Calibri Light" w:hAnsi="Calibri Light" w:asciiTheme="majorHAnsi" w:cstheme="majorHAnsi" w:hAnsiTheme="majorHAnsi"/>
          <w:b/>
          <w:bCs/>
          <w:sz w:val="24"/>
          <w:szCs w:val="24"/>
        </w:rPr>
        <w:t>subcontratados</w:t>
      </w:r>
      <w:r>
        <w:rPr>
          <w:rFonts w:cs="Calibri Light" w:ascii="Calibri Light" w:hAnsi="Calibri Light" w:asciiTheme="majorHAnsi" w:cstheme="majorHAnsi" w:hAnsiTheme="majorHAnsi"/>
          <w:sz w:val="24"/>
          <w:szCs w:val="24"/>
        </w:rPr>
        <w:t>, sem qualquer prejuízo à execução do contrato, tais como, serviços de manutenção preventiva/corretiva dos veículos, limpeza, entre outros.</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Desta forma, entendemos que todas as previsões relacionadas à subcontratação, vedando, limitando ou condicionando sua aplicação à prévia anuência da Contratante se referem, exclusivamente, ao objeto principal licitado, qual seja, locação dos veículos e não se aplica às atividades acessórias citadas.</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 </w:t>
      </w:r>
      <w:r>
        <w:rPr>
          <w:rFonts w:cs="Calibri Light" w:ascii="Calibri Light" w:hAnsi="Calibri Light" w:asciiTheme="majorHAnsi" w:cstheme="majorHAnsi" w:hAnsiTheme="majorHAnsi"/>
          <w:b/>
          <w:bCs/>
          <w:sz w:val="24"/>
          <w:szCs w:val="24"/>
        </w:rPr>
        <w:t>Está correto nosso entendimento?</w:t>
      </w:r>
      <w:bookmarkEnd w:id="31"/>
      <w:r>
        <w:rPr>
          <w:rFonts w:cs="Calibri Light" w:ascii="Calibri Light" w:hAnsi="Calibri Light" w:asciiTheme="majorHAnsi" w:cstheme="majorHAnsi" w:hAnsiTheme="majorHAnsi"/>
          <w:b/>
          <w:bCs/>
          <w:sz w:val="24"/>
          <w:szCs w:val="24"/>
        </w:rPr>
        <w:t xml:space="preserve"> </w:t>
      </w:r>
      <w:r>
        <w:rPr>
          <w:rFonts w:cs="Calibri Light" w:ascii="Calibri Light" w:hAnsi="Calibri Light" w:asciiTheme="majorHAnsi" w:cstheme="majorHAnsi" w:hAnsiTheme="majorHAnsi"/>
          <w:b/>
          <w:bCs/>
          <w:color w:val="C9211E"/>
          <w:sz w:val="24"/>
          <w:szCs w:val="24"/>
        </w:rPr>
        <w:t>Sim, está correto.</w:t>
      </w:r>
    </w:p>
    <w:p>
      <w:pPr>
        <w:pStyle w:val="Normal"/>
        <w:snapToGrid w:val="false"/>
        <w:spacing w:lineRule="auto" w:line="240" w:before="0" w:after="0"/>
        <w:jc w:val="both"/>
        <w:rPr>
          <w:rFonts w:ascii="Calibri Light" w:hAnsi="Calibri Light" w:cs="Calibri Light" w:asciiTheme="majorHAnsi" w:cstheme="majorHAnsi" w:hAnsiTheme="majorHAnsi"/>
          <w:b/>
          <w:bCs/>
          <w:sz w:val="24"/>
          <w:szCs w:val="24"/>
          <w:u w:val="single"/>
        </w:rPr>
      </w:pPr>
      <w:r>
        <w:rPr>
          <w:rFonts w:cs="Calibri Light" w:cstheme="majorHAnsi" w:ascii="Calibri Light" w:hAnsi="Calibri Light"/>
          <w:b/>
          <w:bCs/>
          <w:sz w:val="24"/>
          <w:szCs w:val="24"/>
          <w:u w:val="single"/>
        </w:rPr>
      </w:r>
    </w:p>
    <w:p>
      <w:pPr>
        <w:pStyle w:val="Normal"/>
        <w:snapToGrid w:val="false"/>
        <w:spacing w:lineRule="exact" w:line="360" w:before="120" w:after="160"/>
        <w:jc w:val="both"/>
        <w:rPr>
          <w:rFonts w:ascii="Calibri Light" w:hAnsi="Calibri Light" w:cs="Calibri Light" w:asciiTheme="majorHAnsi" w:cstheme="majorHAnsi" w:hAnsiTheme="majorHAnsi"/>
          <w:b/>
          <w:bCs/>
          <w:sz w:val="24"/>
          <w:szCs w:val="24"/>
          <w:u w:val="single"/>
        </w:rPr>
      </w:pPr>
      <w:r>
        <w:rPr>
          <w:rFonts w:cs="Calibri Light" w:ascii="Calibri Light" w:hAnsi="Calibri Light" w:asciiTheme="majorHAnsi" w:cstheme="majorHAnsi" w:hAnsiTheme="majorHAnsi"/>
          <w:b/>
          <w:bCs/>
          <w:sz w:val="24"/>
          <w:szCs w:val="24"/>
          <w:u w:val="single"/>
        </w:rPr>
        <w:t>9-CONDIÇÕES DE PAGAMENTO.</w:t>
      </w:r>
    </w:p>
    <w:p>
      <w:pPr>
        <w:pStyle w:val="Normal"/>
        <w:snapToGrid w:val="false"/>
        <w:spacing w:lineRule="exact" w:line="360" w:before="120" w:after="160"/>
        <w:ind w:firstLine="567"/>
        <w:jc w:val="both"/>
        <w:rPr>
          <w:rFonts w:ascii="Calibri Light" w:hAnsi="Calibri Light" w:eastAsia="Times New Roman" w:cs="Calibri Light" w:asciiTheme="majorHAnsi" w:cstheme="majorHAnsi" w:hAnsiTheme="majorHAnsi"/>
          <w:sz w:val="24"/>
          <w:szCs w:val="24"/>
        </w:rPr>
      </w:pPr>
      <w:bookmarkStart w:id="32" w:name="_Hlk154065958"/>
      <w:bookmarkStart w:id="33" w:name="_Hlk157069787"/>
      <w:r>
        <w:rPr>
          <w:rFonts w:cs="Calibri Light" w:ascii="Calibri Light" w:hAnsi="Calibri Light" w:asciiTheme="majorHAnsi" w:cstheme="majorHAnsi" w:hAnsiTheme="majorHAnsi"/>
          <w:sz w:val="24"/>
          <w:szCs w:val="24"/>
        </w:rPr>
        <w:t>Especificamente para as locações sem fornecimento de motorista, cumpre registrar que n</w:t>
      </w:r>
      <w:r>
        <w:rPr>
          <w:rFonts w:eastAsia="Times New Roman" w:cs="Calibri Light" w:ascii="Calibri Light" w:hAnsi="Calibri Light" w:asciiTheme="majorHAnsi" w:cstheme="majorHAnsi" w:hAnsiTheme="majorHAnsi"/>
          <w:sz w:val="24"/>
          <w:szCs w:val="24"/>
          <w:lang w:eastAsia="pt-BR"/>
        </w:rPr>
        <w:t>os termos da Sumula Vinculante 31 do STF é inconstitucional a incidência de imposto sobre serviço de qualquer natureza – ISS sobre operações de locações de bens móveis</w:t>
      </w:r>
      <w:r>
        <w:rPr>
          <w:rFonts w:cs="Calibri Light" w:ascii="Calibri Light" w:hAnsi="Calibri Light" w:asciiTheme="majorHAnsi" w:cstheme="majorHAnsi" w:hAnsiTheme="majorHAnsi"/>
          <w:sz w:val="24"/>
          <w:szCs w:val="24"/>
        </w:rPr>
        <w:t>. Outrossim,</w:t>
      </w:r>
      <w:r>
        <w:rPr>
          <w:rFonts w:eastAsia="Times New Roman" w:cs="Calibri Light" w:ascii="Calibri Light" w:hAnsi="Calibri Light" w:asciiTheme="majorHAnsi" w:cstheme="majorHAnsi" w:hAnsiTheme="majorHAnsi"/>
          <w:sz w:val="24"/>
          <w:szCs w:val="24"/>
          <w:lang w:eastAsia="pt-BR"/>
        </w:rPr>
        <w:t xml:space="preserve"> a locação de bens móveis não se enquadra na lista de serviços da Lei Complementar 116/2003, sendo dispensada a emissão de documento fiscal</w:t>
      </w:r>
      <w:r>
        <w:rPr>
          <w:rFonts w:eastAsia="Times New Roman" w:cs="Calibri Light" w:ascii="Calibri Light" w:hAnsi="Calibri Light" w:asciiTheme="majorHAnsi" w:cstheme="majorHAnsi" w:hAnsiTheme="majorHAnsi"/>
          <w:sz w:val="24"/>
          <w:szCs w:val="24"/>
        </w:rPr>
        <w:t>, nos moldes citados no edital.</w:t>
      </w:r>
      <w:bookmarkEnd w:id="33"/>
    </w:p>
    <w:p>
      <w:pPr>
        <w:pStyle w:val="Normal"/>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Outrossim, para que a contratada possa otimizar o controle dos pagamentos relacionados à contratação torna-se mais eficiente a emissão de </w:t>
      </w:r>
      <w:r>
        <w:rPr>
          <w:rFonts w:cs="Calibri Light" w:ascii="Calibri Light" w:hAnsi="Calibri Light" w:asciiTheme="majorHAnsi" w:cstheme="majorHAnsi" w:hAnsiTheme="majorHAnsi"/>
          <w:b/>
          <w:sz w:val="24"/>
          <w:szCs w:val="24"/>
        </w:rPr>
        <w:t>boletos bancários</w:t>
      </w:r>
      <w:r>
        <w:rPr>
          <w:rFonts w:cs="Calibri Light" w:ascii="Calibri Light" w:hAnsi="Calibri Light" w:asciiTheme="majorHAnsi" w:cstheme="majorHAnsi" w:hAnsiTheme="majorHAnsi"/>
          <w:sz w:val="24"/>
          <w:szCs w:val="24"/>
        </w:rPr>
        <w:t xml:space="preserve"> para envio à Contratante, sendo certo que, por meio deste processo é possível relacionar o documento diretamente aos veículos locados e contrato, tornando mais célere e assertiva a identificação dos pagamentos pela contratada. Ademais, tal procedimento representa melhoria dos procedimentos adotados pela contratada e não causa qualquer impacto ou prejuízo para a contratante.</w:t>
      </w:r>
    </w:p>
    <w:p>
      <w:pPr>
        <w:pStyle w:val="Normal"/>
        <w:spacing w:lineRule="exact" w:line="360" w:before="120" w:after="160"/>
        <w:ind w:firstLine="567" w:right="-23"/>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Com relação ao prazo de pagamento, o edital estabelece que será efetuado no prazo máximo de 30 dias mediante apresentação da Nota Fiscal/Fatura atestada por funcionário da Contratante.</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Diante do exposto, para locação de veículos sem fornecimento de motoristas, questiona-se:</w:t>
      </w:r>
    </w:p>
    <w:p>
      <w:pPr>
        <w:pStyle w:val="ListParagraph"/>
        <w:numPr>
          <w:ilvl w:val="0"/>
          <w:numId w:val="1"/>
        </w:numPr>
        <w:snapToGrid w:val="false"/>
        <w:spacing w:lineRule="exact" w:line="360" w:before="120" w:after="160"/>
        <w:contextualSpacing w:val="false"/>
        <w:jc w:val="both"/>
        <w:rPr>
          <w:rFonts w:ascii="Calibri Light" w:hAnsi="Calibri Light" w:cs="Calibri Light" w:asciiTheme="majorHAnsi" w:cstheme="majorHAnsi" w:hAnsiTheme="majorHAnsi"/>
          <w:bCs/>
          <w:sz w:val="24"/>
          <w:szCs w:val="24"/>
        </w:rPr>
      </w:pPr>
      <w:bookmarkStart w:id="34" w:name="_Hlk157069902"/>
      <w:r>
        <w:rPr>
          <w:rFonts w:cs="Calibri Light" w:ascii="Calibri Light" w:hAnsi="Calibri Light" w:asciiTheme="majorHAnsi" w:cstheme="majorHAnsi" w:hAnsiTheme="majorHAnsi"/>
          <w:bCs/>
          <w:sz w:val="24"/>
          <w:szCs w:val="24"/>
        </w:rPr>
        <w:t>Entendemos que podem ser emitidas FATURAS DE LOCAÇÃO em substituição a nota fiscal indicada no Edital. Está correto nosso entendimento?</w:t>
      </w:r>
      <w:bookmarkEnd w:id="34"/>
      <w:r>
        <w:rPr>
          <w:rFonts w:cs="Calibri Light" w:ascii="Calibri Light" w:hAnsi="Calibri Light" w:asciiTheme="majorHAnsi" w:cstheme="majorHAnsi" w:hAnsiTheme="majorHAnsi"/>
          <w:bCs/>
          <w:sz w:val="24"/>
          <w:szCs w:val="24"/>
        </w:rPr>
        <w:t xml:space="preserve"> </w:t>
      </w:r>
      <w:r>
        <w:rPr>
          <w:rFonts w:cs="Calibri Light" w:ascii="Calibri Light" w:hAnsi="Calibri Light" w:asciiTheme="majorHAnsi" w:cstheme="majorHAnsi" w:hAnsiTheme="majorHAnsi"/>
          <w:b/>
          <w:bCs/>
          <w:color w:val="C9211E"/>
          <w:sz w:val="24"/>
          <w:szCs w:val="24"/>
        </w:rPr>
        <w:t>De acordo com os itens nº: 8.1 e 8.2 do Termo de Referência, serão aceitas faturas.</w:t>
      </w:r>
    </w:p>
    <w:p>
      <w:pPr>
        <w:pStyle w:val="ListParagraph"/>
        <w:numPr>
          <w:ilvl w:val="0"/>
          <w:numId w:val="1"/>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Em complemento à fatura a contratada poderá, também, emitir </w:t>
      </w:r>
      <w:r>
        <w:rPr>
          <w:rFonts w:cs="Calibri Light" w:ascii="Calibri Light" w:hAnsi="Calibri Light" w:asciiTheme="majorHAnsi" w:cstheme="majorHAnsi" w:hAnsiTheme="majorHAnsi"/>
          <w:b/>
          <w:sz w:val="24"/>
          <w:szCs w:val="24"/>
        </w:rPr>
        <w:t>boleto bancário</w:t>
      </w:r>
      <w:r>
        <w:rPr>
          <w:rFonts w:cs="Calibri Light" w:ascii="Calibri Light" w:hAnsi="Calibri Light" w:asciiTheme="majorHAnsi" w:cstheme="majorHAnsi" w:hAnsiTheme="majorHAnsi"/>
          <w:sz w:val="24"/>
          <w:szCs w:val="24"/>
        </w:rPr>
        <w:t xml:space="preserve"> para envio à contratante para efetivação dos pagamentos devidos?</w:t>
      </w:r>
      <w:bookmarkEnd w:id="26"/>
      <w:bookmarkEnd w:id="32"/>
      <w:r>
        <w:rPr>
          <w:rFonts w:cs="Calibri Light" w:ascii="Calibri Light" w:hAnsi="Calibri Light" w:asciiTheme="majorHAnsi" w:cstheme="majorHAnsi" w:hAnsiTheme="majorHAnsi"/>
          <w:sz w:val="24"/>
          <w:szCs w:val="24"/>
        </w:rPr>
        <w:t xml:space="preserve"> </w:t>
      </w:r>
      <w:r>
        <w:rPr>
          <w:rFonts w:cs="Calibri Light" w:ascii="Calibri Light" w:hAnsi="Calibri Light" w:asciiTheme="majorHAnsi" w:cstheme="majorHAnsi" w:hAnsiTheme="majorHAnsi"/>
          <w:b/>
          <w:bCs/>
          <w:color w:val="C9211E"/>
          <w:sz w:val="24"/>
          <w:szCs w:val="24"/>
        </w:rPr>
        <w:t>Não!</w:t>
      </w:r>
      <w:bookmarkStart w:id="35" w:name="_Hlk141781793"/>
    </w:p>
    <w:p>
      <w:pPr>
        <w:pStyle w:val="ListParagraph"/>
        <w:numPr>
          <w:ilvl w:val="0"/>
          <w:numId w:val="1"/>
        </w:numPr>
        <w:spacing w:lineRule="exact" w:line="360" w:before="120" w:after="160"/>
        <w:ind w:hanging="360" w:left="927" w:right="-23"/>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Qual será o prazo para confirmação/ateste da fatura pelo gestor do contrato? </w:t>
      </w:r>
      <w:r>
        <w:rPr>
          <w:rFonts w:cs="Calibri Light" w:ascii="Calibri Light" w:hAnsi="Calibri Light" w:asciiTheme="majorHAnsi" w:cstheme="majorHAnsi" w:hAnsiTheme="majorHAnsi"/>
          <w:b/>
          <w:bCs/>
          <w:color w:val="C9211E"/>
          <w:sz w:val="24"/>
          <w:szCs w:val="24"/>
        </w:rPr>
        <w:t>Nem sempre será atastada a nota pelo gestor. De modo que, em relação ao prazo, irá depender de cada secretaria, de acordo com suas demandas e atos administrativos a serem praticados.</w:t>
      </w:r>
    </w:p>
    <w:p>
      <w:pPr>
        <w:pStyle w:val="ListParagraph"/>
        <w:snapToGrid w:val="false"/>
        <w:spacing w:lineRule="auto" w:line="240" w:before="0" w:after="0"/>
        <w:ind w:left="0"/>
        <w:contextualSpacing w:val="false"/>
        <w:jc w:val="both"/>
        <w:rPr>
          <w:rFonts w:ascii="Calibri Light" w:hAnsi="Calibri Light" w:cs="Calibri Light" w:asciiTheme="majorHAnsi" w:cstheme="majorHAnsi" w:hAnsiTheme="majorHAnsi"/>
          <w:b/>
          <w:bCs/>
          <w:sz w:val="24"/>
          <w:szCs w:val="24"/>
          <w:u w:val="single"/>
        </w:rPr>
      </w:pPr>
      <w:r>
        <w:rPr>
          <w:rFonts w:cs="Calibri Light" w:cstheme="majorHAnsi" w:ascii="Calibri Light" w:hAnsi="Calibri Light"/>
          <w:b/>
          <w:bCs/>
          <w:sz w:val="24"/>
          <w:szCs w:val="24"/>
          <w:u w:val="single"/>
        </w:rPr>
      </w:r>
    </w:p>
    <w:p>
      <w:pPr>
        <w:pStyle w:val="ListParagraph"/>
        <w:snapToGrid w:val="false"/>
        <w:spacing w:lineRule="exact" w:line="360" w:before="120" w:after="160"/>
        <w:ind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b/>
          <w:bCs/>
          <w:sz w:val="24"/>
          <w:szCs w:val="24"/>
          <w:u w:val="single"/>
        </w:rPr>
        <w:t>10-INFRAÇÕES DE TRÂNSITO</w:t>
      </w:r>
      <w:r>
        <w:rPr>
          <w:rFonts w:cs="Calibri Light" w:ascii="Calibri Light" w:hAnsi="Calibri Light" w:asciiTheme="majorHAnsi" w:cstheme="majorHAnsi" w:hAnsiTheme="majorHAnsi"/>
          <w:sz w:val="24"/>
          <w:szCs w:val="24"/>
        </w:rPr>
        <w:t>.</w:t>
      </w:r>
    </w:p>
    <w:p>
      <w:pPr>
        <w:pStyle w:val="Normal"/>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Foi estabelecido no edital que a contratada deverá apresentar, em até 2 dias úteis após o recebimento, o auto de notificação ou penalidade para contratante.</w:t>
      </w:r>
    </w:p>
    <w:p>
      <w:pPr>
        <w:pStyle w:val="Normal"/>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 xml:space="preserve">Com relação ao prazo de encaminhamento das autuações, impõe-se considerar que as notificações de autuação não são mais enviadas mediante Aviso de Recebimento-AR, assim, não é possível identificar a data de efetivo recebimento da notificação pela contratada. </w:t>
      </w:r>
    </w:p>
    <w:p>
      <w:pPr>
        <w:pStyle w:val="Normal"/>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Ademais, nos termos do art. 281, II do CTB a autoridade de trânsito deverá expedir a notificação da autuação no prazo máximo de 30 dias da ocorrência da infração. Em sendo emitida a autuação, será concedido o prazo de defesa de 30 dias contados de sua expedição (art. 281-A CTB) e, eventual recurso tempestivamente interposto, surtirá efeitos suspensivos (art. 285 CTB).</w:t>
      </w:r>
    </w:p>
    <w:p>
      <w:pPr>
        <w:pStyle w:val="ListParagraph"/>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 xml:space="preserve">Não há dúvidas que para as locações de veículos sem fornecimento de motorista, cabe à Contratante a responsabilidade pela identificação do condutor e pagamento das multas de trânsito cometidas pelos condutores durante a utilização dos veículos. </w:t>
      </w:r>
    </w:p>
    <w:p>
      <w:pPr>
        <w:pStyle w:val="ListParagraph"/>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Por sua vez, a regra do item 5.17 é de responsabilidade da contratante, através de seus condutores, o pagamento das multas de trânsito em geral, sem especificar qual procedimento deverá ser adotado para tanto.</w:t>
      </w:r>
    </w:p>
    <w:p>
      <w:pPr>
        <w:pStyle w:val="ListParagraph"/>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Com efeito, a contratada não pode ser prejudicada caso ocorra atraso ou mora deste pagamento por parte do condutor, valendo registrar, inclusive, que a contratante terá relação direta de subordinação com o condutor e deverá responder por seus atos durante a contratação.</w:t>
      </w:r>
    </w:p>
    <w:p>
      <w:pPr>
        <w:pStyle w:val="ListParagraph"/>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bookmarkStart w:id="36" w:name="_Hlk140067787"/>
      <w:r>
        <w:rPr>
          <w:rFonts w:cs="Calibri Light" w:ascii="Calibri Light" w:hAnsi="Calibri Light" w:asciiTheme="majorHAnsi" w:cstheme="majorHAnsi" w:hAnsiTheme="majorHAnsi"/>
          <w:bCs/>
          <w:sz w:val="24"/>
          <w:szCs w:val="24"/>
        </w:rPr>
        <w:t>Neste contexto, cabe à contratante garantir a regularidade dos veículos com quitação de multas por infrações de trânsito cometidas por seus condutores.</w:t>
      </w:r>
      <w:bookmarkEnd w:id="36"/>
    </w:p>
    <w:p>
      <w:pPr>
        <w:pStyle w:val="Normal"/>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Assim, o edital deve estabelecer todos os procedimentos para tratamento das multas de trânsito pela contratante, bem como deve prever prazo passível de cumprimento pela contratada para envio das notificações, o qual não prejudique a contratante na adoção das medidas que entender cabíveis em relação às multas de trânsito.</w:t>
      </w:r>
    </w:p>
    <w:p>
      <w:pPr>
        <w:pStyle w:val="Normal"/>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Desta forma, em atenção ao princípio da razoabilidade e legalidade, questiona-se:</w:t>
      </w:r>
    </w:p>
    <w:p>
      <w:pPr>
        <w:pStyle w:val="ListParagraph"/>
        <w:numPr>
          <w:ilvl w:val="0"/>
          <w:numId w:val="6"/>
        </w:numPr>
        <w:snapToGrid w:val="false"/>
        <w:spacing w:lineRule="exact" w:line="360" w:before="120" w:after="16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 xml:space="preserve">A contratada poderá encaminhar à contratante a notificação de infração e/ou auto de penalidade de notificação no prazo de até 15 dias antes do </w:t>
      </w:r>
      <w:r>
        <w:rPr>
          <w:rFonts w:cs="Calibri Light" w:ascii="Calibri Light" w:hAnsi="Calibri Light" w:asciiTheme="majorHAnsi" w:cstheme="majorHAnsi" w:hAnsiTheme="majorHAnsi"/>
          <w:b/>
          <w:sz w:val="24"/>
          <w:szCs w:val="24"/>
        </w:rPr>
        <w:t>prazo final para apresentação de defesa?</w:t>
      </w:r>
      <w:r>
        <w:rPr>
          <w:rFonts w:cs="Calibri Light" w:ascii="Calibri Light" w:hAnsi="Calibri Light" w:asciiTheme="majorHAnsi" w:cstheme="majorHAnsi" w:hAnsiTheme="majorHAnsi"/>
          <w:b/>
          <w:bCs/>
          <w:sz w:val="24"/>
          <w:szCs w:val="24"/>
        </w:rPr>
        <w:t xml:space="preserve"> </w:t>
      </w:r>
      <w:r>
        <w:rPr>
          <w:rFonts w:cs="Calibri Light" w:ascii="Calibri Light" w:hAnsi="Calibri Light" w:asciiTheme="majorHAnsi" w:cstheme="majorHAnsi" w:hAnsiTheme="majorHAnsi"/>
          <w:b/>
          <w:bCs/>
          <w:color w:val="C9211E"/>
          <w:sz w:val="24"/>
          <w:szCs w:val="24"/>
        </w:rPr>
        <w:t>"Não, como o documento de infração de trânsito poderá ser encaminhado à Contratante por via eletrônica, diretamente ao responsável pela Secretaria demandante, acreditamos ser, 02 (dois) dias úteis, após o recebimento da mesma pela Contratada, o suficiente para ecaminhamento de tal documento à Contratante, a fim de que a mesma possa tomar as devidas providências cabíveis, como identificação do condutor ou condutores e tramitação do documento para pagamento."</w:t>
      </w:r>
    </w:p>
    <w:p>
      <w:pPr>
        <w:pStyle w:val="ListParagraph"/>
        <w:numPr>
          <w:ilvl w:val="0"/>
          <w:numId w:val="6"/>
        </w:numPr>
        <w:spacing w:lineRule="exact" w:line="360" w:before="120" w:after="160"/>
        <w:contextualSpacing w:val="false"/>
        <w:jc w:val="both"/>
        <w:rPr>
          <w:rFonts w:ascii="Calibri Light" w:hAnsi="Calibri Light" w:cs="Calibri Light" w:asciiTheme="majorHAnsi" w:cstheme="majorHAnsi" w:hAnsiTheme="majorHAnsi"/>
          <w:bCs/>
          <w:sz w:val="24"/>
          <w:szCs w:val="24"/>
        </w:rPr>
      </w:pPr>
      <w:bookmarkStart w:id="37" w:name="_Hlk146896088"/>
      <w:r>
        <w:rPr>
          <w:rFonts w:cs="Calibri Light" w:ascii="Calibri Light" w:hAnsi="Calibri Light" w:asciiTheme="majorHAnsi" w:cstheme="majorHAnsi" w:hAnsiTheme="majorHAnsi"/>
          <w:bCs/>
          <w:sz w:val="24"/>
          <w:szCs w:val="24"/>
        </w:rPr>
        <w:t xml:space="preserve">Caso o condutor não efetue diretamente o pagamento das multas de trânsito a </w:t>
      </w:r>
      <w:r>
        <w:rPr>
          <w:rFonts w:cs="Calibri Light" w:ascii="Calibri Light" w:hAnsi="Calibri Light" w:asciiTheme="majorHAnsi" w:cstheme="majorHAnsi" w:hAnsiTheme="majorHAnsi"/>
          <w:bCs/>
          <w:sz w:val="24"/>
          <w:szCs w:val="24"/>
          <w:u w:val="single"/>
        </w:rPr>
        <w:t>Contratante</w:t>
      </w:r>
      <w:r>
        <w:rPr>
          <w:rFonts w:cs="Calibri Light" w:ascii="Calibri Light" w:hAnsi="Calibri Light" w:asciiTheme="majorHAnsi" w:cstheme="majorHAnsi" w:hAnsiTheme="majorHAnsi"/>
          <w:bCs/>
          <w:sz w:val="24"/>
          <w:szCs w:val="24"/>
        </w:rPr>
        <w:t xml:space="preserve"> fará diretamente o pagamento das multas decorrentes de infrações de trânsito cometidas pelos condutores? </w:t>
      </w:r>
      <w:r>
        <w:rPr>
          <w:rFonts w:cs="Calibri Light" w:ascii="Calibri Light" w:hAnsi="Calibri Light" w:asciiTheme="majorHAnsi" w:cstheme="majorHAnsi" w:hAnsiTheme="majorHAnsi"/>
          <w:b/>
          <w:bCs/>
          <w:sz w:val="24"/>
          <w:szCs w:val="24"/>
        </w:rPr>
        <w:t xml:space="preserve">OU </w:t>
        <w:br/>
        <w:t xml:space="preserve">R: </w:t>
      </w:r>
      <w:r>
        <w:rPr>
          <w:rFonts w:cs="Calibri Light" w:ascii="Calibri Light" w:hAnsi="Calibri Light" w:asciiTheme="majorHAnsi" w:cstheme="majorHAnsi" w:hAnsiTheme="majorHAnsi"/>
          <w:b/>
          <w:bCs/>
          <w:color w:val="C9211E"/>
          <w:sz w:val="24"/>
          <w:szCs w:val="24"/>
        </w:rPr>
        <w:t>"As multas decorrentes de servidores condutores,  o seu pagamento será de responsabilidade da contratante, desde que o documento de infração seja encaminhada à contratante dentro do prazo determinado no termo de referência, ou seja, 02(dois) dias úteis".</w:t>
      </w:r>
    </w:p>
    <w:p>
      <w:pPr>
        <w:pStyle w:val="ListParagraph"/>
        <w:numPr>
          <w:ilvl w:val="0"/>
          <w:numId w:val="6"/>
        </w:numPr>
        <w:snapToGrid w:val="false"/>
        <w:spacing w:lineRule="exact" w:line="360" w:before="120" w:after="160"/>
        <w:contextualSpacing w:val="false"/>
        <w:jc w:val="both"/>
        <w:rPr>
          <w:rFonts w:ascii="Calibri Light" w:hAnsi="Calibri Light" w:cs="Calibri Light" w:asciiTheme="majorHAnsi" w:cstheme="majorHAnsi" w:hAnsiTheme="majorHAnsi"/>
          <w:b/>
          <w:bCs/>
          <w:sz w:val="24"/>
          <w:szCs w:val="24"/>
        </w:rPr>
      </w:pPr>
      <w:r>
        <w:rPr>
          <w:rFonts w:cs="Calibri Light" w:ascii="Calibri Light" w:hAnsi="Calibri Light" w:asciiTheme="majorHAnsi" w:cstheme="majorHAnsi" w:hAnsiTheme="majorHAnsi"/>
          <w:bCs/>
          <w:sz w:val="24"/>
          <w:szCs w:val="24"/>
        </w:rPr>
        <w:t xml:space="preserve">A </w:t>
      </w:r>
      <w:r>
        <w:rPr>
          <w:rFonts w:cs="Calibri Light" w:ascii="Calibri Light" w:hAnsi="Calibri Light" w:asciiTheme="majorHAnsi" w:cstheme="majorHAnsi" w:hAnsiTheme="majorHAnsi"/>
          <w:bCs/>
          <w:sz w:val="24"/>
          <w:szCs w:val="24"/>
          <w:u w:val="single"/>
        </w:rPr>
        <w:t>Contratada</w:t>
      </w:r>
      <w:r>
        <w:rPr>
          <w:rFonts w:cs="Calibri Light" w:ascii="Calibri Light" w:hAnsi="Calibri Light" w:asciiTheme="majorHAnsi" w:cstheme="majorHAnsi" w:hAnsiTheme="majorHAnsi"/>
          <w:bCs/>
          <w:sz w:val="24"/>
          <w:szCs w:val="24"/>
        </w:rPr>
        <w:t xml:space="preserve"> fará o pagamento das multas decorrentes de infrações de trânsito cometidas pelos condutores e </w:t>
      </w:r>
      <w:r>
        <w:rPr>
          <w:rFonts w:cs="Calibri Light" w:ascii="Calibri Light" w:hAnsi="Calibri Light" w:asciiTheme="majorHAnsi" w:cstheme="majorHAnsi" w:hAnsiTheme="majorHAnsi"/>
          <w:b/>
          <w:bCs/>
          <w:sz w:val="24"/>
          <w:szCs w:val="24"/>
          <w:u w:val="single"/>
        </w:rPr>
        <w:t>será ressarcida pela Contratante</w:t>
      </w:r>
      <w:r>
        <w:rPr>
          <w:rFonts w:cs="Calibri Light" w:ascii="Calibri Light" w:hAnsi="Calibri Light" w:asciiTheme="majorHAnsi" w:cstheme="majorHAnsi" w:hAnsiTheme="majorHAnsi"/>
          <w:b/>
          <w:bCs/>
          <w:sz w:val="24"/>
          <w:szCs w:val="24"/>
        </w:rPr>
        <w:t>? Qual será o prazo e procedimento para referido ressarcimento?</w:t>
      </w:r>
      <w:bookmarkEnd w:id="37"/>
      <w:r>
        <w:rPr>
          <w:rFonts w:cs="Calibri Light" w:ascii="Calibri Light" w:hAnsi="Calibri Light" w:asciiTheme="majorHAnsi" w:cstheme="majorHAnsi" w:hAnsiTheme="majorHAnsi"/>
          <w:b/>
          <w:bCs/>
          <w:sz w:val="24"/>
          <w:szCs w:val="24"/>
        </w:rPr>
        <w:t xml:space="preserve"> </w:t>
      </w:r>
      <w:r>
        <w:rPr>
          <w:rFonts w:cs="Calibri Light" w:ascii="Calibri Light" w:hAnsi="Calibri Light" w:asciiTheme="majorHAnsi" w:cstheme="majorHAnsi" w:hAnsiTheme="majorHAnsi"/>
          <w:b/>
          <w:bCs/>
          <w:color w:val="C9211E"/>
          <w:sz w:val="24"/>
          <w:szCs w:val="24"/>
        </w:rPr>
        <w:t>A empresa deve encaminhar a notificação para que a prefeitura faça identificação do condutor e realize o pagamento da multa.</w:t>
      </w:r>
    </w:p>
    <w:p>
      <w:pPr>
        <w:pStyle w:val="ListParagraph"/>
        <w:numPr>
          <w:ilvl w:val="0"/>
          <w:numId w:val="6"/>
        </w:numPr>
        <w:snapToGrid w:val="false"/>
        <w:spacing w:lineRule="exact" w:line="360" w:before="120" w:after="16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 xml:space="preserve">Caso constem pendências de multas de trânsito, na ocasião dos licenciamentos dos veículos, a Contratada poderá quitá-las para viabilizar a regularização dos documentos, mesmo sem decisão de eventual recurso? </w:t>
      </w:r>
      <w:r>
        <w:rPr>
          <w:rFonts w:cs="Calibri Light" w:ascii="Calibri Light" w:hAnsi="Calibri Light" w:asciiTheme="majorHAnsi" w:cstheme="majorHAnsi" w:hAnsiTheme="majorHAnsi"/>
          <w:b/>
          <w:bCs/>
          <w:color w:val="C9211E"/>
          <w:sz w:val="24"/>
          <w:szCs w:val="24"/>
        </w:rPr>
        <w:t>Não!</w:t>
      </w:r>
      <w:r>
        <w:rPr>
          <w:rFonts w:cs="Calibri Light" w:ascii="Calibri Light" w:hAnsi="Calibri Light" w:asciiTheme="majorHAnsi" w:cstheme="majorHAnsi" w:hAnsiTheme="majorHAnsi"/>
          <w:bCs/>
          <w:sz w:val="24"/>
          <w:szCs w:val="24"/>
        </w:rPr>
        <w:t xml:space="preserve"> Em caso positivo, a Contratante irá reembolsar o pagamento realizado pela Contratada? </w:t>
      </w:r>
      <w:r>
        <w:rPr>
          <w:rFonts w:cs="Calibri Light" w:ascii="Calibri Light" w:hAnsi="Calibri Light" w:asciiTheme="majorHAnsi" w:cstheme="majorHAnsi" w:hAnsiTheme="majorHAnsi"/>
          <w:b/>
          <w:bCs/>
          <w:color w:val="C9211E"/>
          <w:sz w:val="24"/>
          <w:szCs w:val="24"/>
        </w:rPr>
        <w:t>Não!</w:t>
      </w:r>
    </w:p>
    <w:p>
      <w:pPr>
        <w:pStyle w:val="ListParagraph"/>
        <w:numPr>
          <w:ilvl w:val="0"/>
          <w:numId w:val="6"/>
        </w:numPr>
        <w:snapToGrid w:val="false"/>
        <w:spacing w:lineRule="exact" w:line="360" w:before="120" w:after="16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sz w:val="24"/>
          <w:szCs w:val="24"/>
        </w:rPr>
        <w:t xml:space="preserve">Considerando que ao final do contrato e após desmobilização definitiva dos veículos, a Contratada dependerá da regularização documental para direcioná-los para venda de ativos, é imprescindível que os pagamentos de eventuais multas sejam efetivados com celeridade. Diante disso, a contratada poderá efetivar a imediata quitação das multas de trânsito de veículos desmobilizados? </w:t>
      </w:r>
      <w:r>
        <w:rPr>
          <w:rFonts w:cs="Calibri Light" w:ascii="Calibri Light" w:hAnsi="Calibri Light" w:asciiTheme="majorHAnsi" w:cstheme="majorHAnsi" w:hAnsiTheme="majorHAnsi"/>
          <w:b/>
          <w:bCs/>
          <w:color w:val="C9211E"/>
          <w:sz w:val="24"/>
          <w:szCs w:val="24"/>
        </w:rPr>
        <w:t>Não!</w:t>
      </w:r>
      <w:r>
        <w:rPr>
          <w:rFonts w:cs="Calibri Light" w:ascii="Calibri Light" w:hAnsi="Calibri Light" w:asciiTheme="majorHAnsi" w:cstheme="majorHAnsi" w:hAnsiTheme="majorHAnsi"/>
          <w:sz w:val="24"/>
          <w:szCs w:val="24"/>
        </w:rPr>
        <w:t xml:space="preserve"> Neste caso, em qual prazo será ressarcida pelos pagamentos?</w:t>
      </w:r>
    </w:p>
    <w:p>
      <w:pPr>
        <w:pStyle w:val="Normal"/>
        <w:snapToGrid w:val="false"/>
        <w:spacing w:lineRule="auto" w:line="240" w:before="0" w:after="0"/>
        <w:jc w:val="both"/>
        <w:rPr>
          <w:rFonts w:ascii="Calibri Light" w:hAnsi="Calibri Light" w:eastAsia="Times New Roman" w:cs="Calibri Light" w:asciiTheme="majorHAnsi" w:cstheme="majorHAnsi" w:hAnsiTheme="majorHAnsi"/>
          <w:b/>
          <w:bCs/>
          <w:sz w:val="24"/>
          <w:szCs w:val="24"/>
          <w:u w:val="single"/>
          <w:lang w:eastAsia="pt-BR"/>
        </w:rPr>
      </w:pPr>
      <w:r>
        <w:rPr>
          <w:rFonts w:eastAsia="Times New Roman" w:cs="Calibri Light" w:cstheme="majorHAnsi" w:ascii="Calibri Light" w:hAnsi="Calibri Light"/>
          <w:b/>
          <w:bCs/>
          <w:sz w:val="24"/>
          <w:szCs w:val="24"/>
          <w:u w:val="single"/>
          <w:lang w:eastAsia="pt-BR"/>
        </w:rPr>
      </w:r>
    </w:p>
    <w:p>
      <w:pPr>
        <w:pStyle w:val="Normal"/>
        <w:snapToGrid w:val="false"/>
        <w:spacing w:lineRule="exact" w:line="360" w:before="120" w:after="160"/>
        <w:jc w:val="both"/>
        <w:rPr>
          <w:rFonts w:ascii="Calibri Light" w:hAnsi="Calibri Light" w:eastAsia="Times New Roman" w:cs="Calibri Light" w:asciiTheme="majorHAnsi" w:cstheme="majorHAnsi" w:hAnsiTheme="majorHAnsi"/>
          <w:sz w:val="24"/>
          <w:szCs w:val="24"/>
          <w:lang w:eastAsia="pt-BR"/>
        </w:rPr>
      </w:pPr>
      <w:r>
        <w:rPr>
          <w:rFonts w:eastAsia="Times New Roman" w:cs="Calibri Light" w:ascii="Calibri Light" w:hAnsi="Calibri Light" w:asciiTheme="majorHAnsi" w:cstheme="majorHAnsi" w:hAnsiTheme="majorHAnsi"/>
          <w:b/>
          <w:bCs/>
          <w:sz w:val="24"/>
          <w:szCs w:val="24"/>
          <w:u w:val="single"/>
          <w:lang w:eastAsia="pt-BR"/>
        </w:rPr>
        <w:t>11-VALOR ESTIMADO PARA CONTRATAÇÃO.</w:t>
      </w:r>
    </w:p>
    <w:p>
      <w:pPr>
        <w:pStyle w:val="Normal"/>
        <w:snapToGrid w:val="false"/>
        <w:spacing w:lineRule="exact" w:line="360" w:before="120" w:after="160"/>
        <w:ind w:firstLine="567"/>
        <w:jc w:val="both"/>
        <w:rPr>
          <w:rFonts w:ascii="Calibri Light" w:hAnsi="Calibri Light" w:eastAsia="Times New Roman" w:cs="Calibri Light" w:asciiTheme="majorHAnsi" w:cstheme="majorHAnsi" w:hAnsiTheme="majorHAnsi"/>
          <w:sz w:val="24"/>
          <w:szCs w:val="24"/>
          <w:lang w:eastAsia="pt-BR"/>
        </w:rPr>
      </w:pPr>
      <w:r>
        <w:rPr>
          <w:rFonts w:eastAsia="Times New Roman" w:cs="Calibri Light" w:ascii="Calibri Light" w:hAnsi="Calibri Light" w:asciiTheme="majorHAnsi" w:cstheme="majorHAnsi" w:hAnsiTheme="majorHAnsi"/>
          <w:sz w:val="24"/>
          <w:szCs w:val="24"/>
          <w:lang w:eastAsia="pt-BR"/>
        </w:rPr>
        <w:t xml:space="preserve">Entendemos que </w:t>
      </w:r>
      <w:r>
        <w:rPr>
          <w:rFonts w:eastAsia="Times New Roman" w:cs="Calibri Light" w:ascii="Calibri Light" w:hAnsi="Calibri Light" w:asciiTheme="majorHAnsi" w:cstheme="majorHAnsi" w:hAnsiTheme="majorHAnsi"/>
          <w:b/>
          <w:bCs/>
          <w:sz w:val="24"/>
          <w:szCs w:val="24"/>
          <w:lang w:eastAsia="pt-BR"/>
        </w:rPr>
        <w:t xml:space="preserve">na proposta inicial poderão ser ofertados valores </w:t>
      </w:r>
      <w:r>
        <w:rPr>
          <w:rFonts w:eastAsia="Times New Roman" w:cs="Calibri Light" w:ascii="Calibri Light" w:hAnsi="Calibri Light" w:asciiTheme="majorHAnsi" w:cstheme="majorHAnsi" w:hAnsiTheme="majorHAnsi"/>
          <w:b/>
          <w:bCs/>
          <w:sz w:val="24"/>
          <w:szCs w:val="24"/>
          <w:u w:val="single"/>
          <w:lang w:eastAsia="pt-BR"/>
        </w:rPr>
        <w:t>acima</w:t>
      </w:r>
      <w:r>
        <w:rPr>
          <w:rFonts w:eastAsia="Times New Roman" w:cs="Calibri Light" w:ascii="Calibri Light" w:hAnsi="Calibri Light" w:asciiTheme="majorHAnsi" w:cstheme="majorHAnsi" w:hAnsiTheme="majorHAnsi"/>
          <w:b/>
          <w:bCs/>
          <w:sz w:val="24"/>
          <w:szCs w:val="24"/>
          <w:lang w:eastAsia="pt-BR"/>
        </w:rPr>
        <w:t xml:space="preserve"> do limite estimado para contratação</w:t>
      </w:r>
      <w:r>
        <w:rPr>
          <w:rFonts w:eastAsia="Times New Roman" w:cs="Calibri Light" w:ascii="Calibri Light" w:hAnsi="Calibri Light" w:asciiTheme="majorHAnsi" w:cstheme="majorHAnsi" w:hAnsiTheme="majorHAnsi"/>
          <w:sz w:val="24"/>
          <w:szCs w:val="24"/>
          <w:lang w:eastAsia="pt-BR"/>
        </w:rPr>
        <w:t xml:space="preserve">, e somente na </w:t>
      </w:r>
      <w:r>
        <w:rPr>
          <w:rFonts w:eastAsia="Times New Roman" w:cs="Calibri Light" w:ascii="Calibri Light" w:hAnsi="Calibri Light" w:asciiTheme="majorHAnsi" w:cstheme="majorHAnsi" w:hAnsiTheme="majorHAnsi"/>
          <w:b/>
          <w:bCs/>
          <w:sz w:val="24"/>
          <w:szCs w:val="24"/>
          <w:lang w:eastAsia="pt-BR"/>
        </w:rPr>
        <w:t>proposta final ajustada </w:t>
      </w:r>
      <w:bookmarkStart w:id="38" w:name="_Hlk155193215"/>
      <w:r>
        <w:rPr>
          <w:rFonts w:eastAsia="Times New Roman" w:cs="Calibri Light" w:ascii="Calibri Light" w:hAnsi="Calibri Light" w:asciiTheme="majorHAnsi" w:cstheme="majorHAnsi" w:hAnsiTheme="majorHAnsi"/>
          <w:sz w:val="24"/>
          <w:szCs w:val="24"/>
          <w:lang w:eastAsia="pt-BR"/>
        </w:rPr>
        <w:t>deverá ser observado o valor limite estimado para contratação.</w:t>
      </w:r>
      <w:bookmarkEnd w:id="38"/>
      <w:r>
        <w:rPr>
          <w:rFonts w:eastAsia="Times New Roman" w:cs="Calibri Light" w:ascii="Calibri Light" w:hAnsi="Calibri Light" w:asciiTheme="majorHAnsi" w:cstheme="majorHAnsi" w:hAnsiTheme="majorHAnsi"/>
          <w:sz w:val="24"/>
          <w:szCs w:val="24"/>
          <w:lang w:eastAsia="pt-BR"/>
        </w:rPr>
        <w:t xml:space="preserve"> Está correto nosso entendimento?</w:t>
      </w:r>
      <w:bookmarkEnd w:id="35"/>
      <w:r>
        <w:rPr>
          <w:rFonts w:eastAsia="Times New Roman" w:cs="Calibri Light" w:ascii="Calibri Light" w:hAnsi="Calibri Light" w:asciiTheme="majorHAnsi" w:cstheme="majorHAnsi" w:hAnsiTheme="majorHAnsi"/>
          <w:sz w:val="24"/>
          <w:szCs w:val="24"/>
          <w:lang w:eastAsia="pt-BR"/>
        </w:rPr>
        <w:t xml:space="preserve"> </w:t>
      </w:r>
      <w:r>
        <w:rPr>
          <w:rFonts w:eastAsia="Times New Roman" w:cs="Calibri Light" w:ascii="Calibri Light" w:hAnsi="Calibri Light" w:asciiTheme="majorHAnsi" w:cstheme="majorHAnsi" w:hAnsiTheme="majorHAnsi"/>
          <w:b/>
          <w:bCs/>
          <w:color w:val="C9211E"/>
          <w:sz w:val="24"/>
          <w:szCs w:val="24"/>
          <w:lang w:eastAsia="pt-BR"/>
        </w:rPr>
        <w:t>Trata-se de pregão eletrônico com registro de preços. O modo desta licitação ocorre por disputas no sistema, cujos valores são lançados pelos licitantes participantes. Nenhum valor acima do máximo estimável pela administração poderá ser aceito pelo pregoeiro. A proposta inicial pode ser acima, mas durante a fase de aceitação, não!</w:t>
      </w:r>
      <w:bookmarkStart w:id="39" w:name="_Hlk132045276"/>
    </w:p>
    <w:p>
      <w:pPr>
        <w:pStyle w:val="ListParagraph"/>
        <w:snapToGrid w:val="false"/>
        <w:spacing w:lineRule="auto" w:line="240" w:before="0" w:after="0"/>
        <w:ind w:left="0"/>
        <w:contextualSpacing w:val="false"/>
        <w:jc w:val="both"/>
        <w:rPr>
          <w:rFonts w:ascii="Calibri Light" w:hAnsi="Calibri Light" w:cs="Calibri Light" w:asciiTheme="majorHAnsi" w:cstheme="majorHAnsi" w:hAnsiTheme="majorHAnsi"/>
          <w:b/>
          <w:bCs/>
          <w:sz w:val="24"/>
          <w:szCs w:val="24"/>
          <w:u w:val="single"/>
        </w:rPr>
      </w:pPr>
      <w:r>
        <w:rPr>
          <w:rFonts w:cs="Calibri Light" w:cstheme="majorHAnsi" w:ascii="Calibri Light" w:hAnsi="Calibri Light"/>
          <w:b/>
          <w:bCs/>
          <w:sz w:val="24"/>
          <w:szCs w:val="24"/>
          <w:u w:val="single"/>
        </w:rPr>
      </w:r>
      <w:bookmarkStart w:id="40" w:name="_Hlk144486767"/>
      <w:bookmarkStart w:id="41" w:name="_Hlk144486767"/>
      <w:bookmarkEnd w:id="39"/>
    </w:p>
    <w:p>
      <w:pPr>
        <w:pStyle w:val="ListParagraph"/>
        <w:snapToGrid w:val="false"/>
        <w:spacing w:lineRule="exact" w:line="360" w:before="120" w:after="160"/>
        <w:ind w:left="0"/>
        <w:contextualSpacing w:val="false"/>
        <w:jc w:val="both"/>
        <w:rPr>
          <w:rFonts w:ascii="Calibri Light" w:hAnsi="Calibri Light" w:cs="Calibri Light" w:asciiTheme="majorHAnsi" w:cstheme="majorHAnsi" w:hAnsiTheme="majorHAnsi"/>
          <w:b/>
          <w:bCs/>
          <w:sz w:val="24"/>
          <w:szCs w:val="24"/>
        </w:rPr>
      </w:pPr>
      <w:r>
        <w:rPr>
          <w:rFonts w:cs="Calibri Light" w:ascii="Calibri Light" w:hAnsi="Calibri Light" w:asciiTheme="majorHAnsi" w:cstheme="majorHAnsi" w:hAnsiTheme="majorHAnsi"/>
          <w:b/>
          <w:bCs/>
          <w:sz w:val="24"/>
          <w:szCs w:val="24"/>
          <w:u w:val="single"/>
        </w:rPr>
        <w:t>12-EMPLACAMENTO DOS VEÍCULOS</w:t>
      </w:r>
      <w:r>
        <w:rPr>
          <w:rFonts w:cs="Calibri Light" w:ascii="Calibri Light" w:hAnsi="Calibri Light" w:asciiTheme="majorHAnsi" w:cstheme="majorHAnsi" w:hAnsiTheme="majorHAnsi"/>
          <w:b/>
          <w:bCs/>
          <w:sz w:val="24"/>
          <w:szCs w:val="24"/>
        </w:rPr>
        <w:t>.</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u w:val="single"/>
        </w:rPr>
      </w:pPr>
      <w:r>
        <w:rPr>
          <w:rFonts w:cs="Calibri Light" w:ascii="Calibri Light" w:hAnsi="Calibri Light" w:asciiTheme="majorHAnsi" w:cstheme="majorHAnsi" w:hAnsiTheme="majorHAnsi"/>
          <w:sz w:val="24"/>
          <w:szCs w:val="24"/>
        </w:rPr>
        <w:t xml:space="preserve">A </w:t>
      </w:r>
      <w:r>
        <w:rPr>
          <w:rFonts w:cs="Calibri Light" w:ascii="Calibri Light" w:hAnsi="Calibri Light" w:asciiTheme="majorHAnsi" w:cstheme="majorHAnsi" w:hAnsiTheme="majorHAnsi"/>
          <w:bCs/>
          <w:sz w:val="24"/>
          <w:szCs w:val="24"/>
        </w:rPr>
        <w:t>licitante poderá optar pelo local de emplacamento/licenciamento dos veículos?</w:t>
      </w:r>
      <w:bookmarkEnd w:id="41"/>
      <w:r>
        <w:rPr>
          <w:rFonts w:cs="Calibri Light" w:ascii="Calibri Light" w:hAnsi="Calibri Light" w:asciiTheme="majorHAnsi" w:cstheme="majorHAnsi" w:hAnsiTheme="majorHAnsi"/>
          <w:bCs/>
          <w:sz w:val="24"/>
          <w:szCs w:val="24"/>
          <w:u w:val="single"/>
        </w:rPr>
        <w:t xml:space="preserve"> </w:t>
      </w:r>
      <w:r>
        <w:rPr>
          <w:rFonts w:cs="Calibri Light" w:ascii="Calibri Light" w:hAnsi="Calibri Light" w:asciiTheme="majorHAnsi" w:cstheme="majorHAnsi" w:hAnsiTheme="majorHAnsi"/>
          <w:b/>
          <w:bCs/>
          <w:color w:val="C9211E"/>
          <w:sz w:val="24"/>
          <w:szCs w:val="24"/>
          <w:u w:val="none"/>
        </w:rPr>
        <w:t xml:space="preserve">Sim. </w:t>
      </w:r>
      <w:r>
        <w:rPr>
          <w:rFonts w:cs="Calibri Light" w:ascii="Calibri Light" w:hAnsi="Calibri Light" w:asciiTheme="majorHAnsi" w:cstheme="majorHAnsi" w:hAnsiTheme="majorHAnsi"/>
          <w:b/>
          <w:bCs/>
          <w:color w:val="C9211E"/>
          <w:sz w:val="24"/>
          <w:szCs w:val="24"/>
          <w:u w:val="none"/>
        </w:rPr>
        <w:t>Poderá optar!</w:t>
      </w:r>
    </w:p>
    <w:p>
      <w:pPr>
        <w:pStyle w:val="Normal"/>
        <w:snapToGrid w:val="false"/>
        <w:spacing w:lineRule="auto" w:line="240" w:before="0" w:after="0"/>
        <w:jc w:val="both"/>
        <w:rPr>
          <w:rFonts w:ascii="Calibri Light" w:hAnsi="Calibri Light" w:cs="Calibri Light" w:asciiTheme="majorHAnsi" w:cstheme="majorHAnsi" w:hAnsiTheme="majorHAnsi"/>
          <w:sz w:val="24"/>
          <w:szCs w:val="24"/>
        </w:rPr>
      </w:pPr>
      <w:r>
        <w:rPr>
          <w:rFonts w:cs="Calibri Light" w:cstheme="majorHAnsi" w:ascii="Calibri Light" w:hAnsi="Calibri Light"/>
          <w:sz w:val="24"/>
          <w:szCs w:val="24"/>
        </w:rPr>
      </w:r>
    </w:p>
    <w:p>
      <w:pPr>
        <w:pStyle w:val="ListParagraph"/>
        <w:tabs>
          <w:tab w:val="clear" w:pos="708"/>
          <w:tab w:val="left" w:pos="10206" w:leader="none"/>
        </w:tabs>
        <w:snapToGrid w:val="false"/>
        <w:spacing w:lineRule="exact" w:line="360" w:before="120" w:after="160"/>
        <w:ind w:left="0"/>
        <w:contextualSpacing w:val="false"/>
        <w:jc w:val="both"/>
        <w:rPr>
          <w:rFonts w:ascii="Calibri Light" w:hAnsi="Calibri Light" w:cs="Calibri Light" w:asciiTheme="majorHAnsi" w:cstheme="majorHAnsi" w:hAnsiTheme="majorHAnsi"/>
          <w:b/>
          <w:bCs/>
          <w:sz w:val="24"/>
          <w:szCs w:val="24"/>
          <w:u w:val="single"/>
        </w:rPr>
      </w:pPr>
      <w:r>
        <w:rPr>
          <w:rFonts w:cs="Calibri Light" w:ascii="Calibri Light" w:hAnsi="Calibri Light" w:asciiTheme="majorHAnsi" w:cstheme="majorHAnsi" w:hAnsiTheme="majorHAnsi"/>
          <w:b/>
          <w:bCs/>
          <w:sz w:val="24"/>
          <w:szCs w:val="24"/>
          <w:u w:val="single"/>
        </w:rPr>
        <w:t>13-PROPRIEDADE DOS VEÍCULOS</w:t>
      </w:r>
      <w:r>
        <w:rPr>
          <w:rFonts w:cs="Calibri Light" w:ascii="Calibri Light" w:hAnsi="Calibri Light" w:asciiTheme="majorHAnsi" w:cstheme="majorHAnsi" w:hAnsiTheme="majorHAnsi"/>
          <w:b/>
          <w:bCs/>
          <w:sz w:val="24"/>
          <w:szCs w:val="24"/>
        </w:rPr>
        <w:t>.</w:t>
      </w:r>
    </w:p>
    <w:p>
      <w:pPr>
        <w:pStyle w:val="ListParagraph"/>
        <w:numPr>
          <w:ilvl w:val="0"/>
          <w:numId w:val="8"/>
        </w:numPr>
        <w:tabs>
          <w:tab w:val="clear" w:pos="708"/>
          <w:tab w:val="left" w:pos="10206"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Os </w:t>
      </w:r>
      <w:r>
        <w:rPr>
          <w:rFonts w:cs="Calibri Light" w:ascii="Calibri Light" w:hAnsi="Calibri Light" w:asciiTheme="majorHAnsi" w:cstheme="majorHAnsi" w:hAnsiTheme="majorHAnsi"/>
          <w:b/>
          <w:bCs/>
          <w:sz w:val="24"/>
          <w:szCs w:val="24"/>
        </w:rPr>
        <w:t>veículos definitivos</w:t>
      </w:r>
      <w:r>
        <w:rPr>
          <w:rFonts w:cs="Calibri Light" w:ascii="Calibri Light" w:hAnsi="Calibri Light" w:asciiTheme="majorHAnsi" w:cstheme="majorHAnsi" w:hAnsiTheme="majorHAnsi"/>
          <w:sz w:val="24"/>
          <w:szCs w:val="24"/>
        </w:rPr>
        <w:t xml:space="preserve"> objeto do futuro contrato poderão estar na posse da Contratada e ser de propriedade de empresa que integre o mesmo grupo econômico? </w:t>
      </w:r>
      <w:r>
        <w:rPr>
          <w:rFonts w:cs="Calibri Light" w:ascii="Calibri Light" w:hAnsi="Calibri Light" w:asciiTheme="majorHAnsi" w:cstheme="majorHAnsi" w:hAnsiTheme="majorHAnsi"/>
          <w:b/>
          <w:bCs/>
          <w:color w:val="C9211E"/>
          <w:sz w:val="24"/>
          <w:szCs w:val="24"/>
        </w:rPr>
        <w:t>Sim!</w:t>
      </w:r>
    </w:p>
    <w:p>
      <w:pPr>
        <w:pStyle w:val="ListParagraph"/>
        <w:numPr>
          <w:ilvl w:val="0"/>
          <w:numId w:val="8"/>
        </w:numPr>
        <w:tabs>
          <w:tab w:val="clear" w:pos="708"/>
          <w:tab w:val="left" w:pos="10206" w:leader="none"/>
        </w:tabs>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Os </w:t>
      </w:r>
      <w:r>
        <w:rPr>
          <w:rFonts w:cs="Calibri Light" w:ascii="Calibri Light" w:hAnsi="Calibri Light" w:asciiTheme="majorHAnsi" w:cstheme="majorHAnsi" w:hAnsiTheme="majorHAnsi"/>
          <w:b/>
          <w:bCs/>
          <w:sz w:val="24"/>
          <w:szCs w:val="24"/>
        </w:rPr>
        <w:t>veículos para substituição temporária</w:t>
      </w:r>
      <w:r>
        <w:rPr>
          <w:rFonts w:cs="Calibri Light" w:ascii="Calibri Light" w:hAnsi="Calibri Light" w:asciiTheme="majorHAnsi" w:cstheme="majorHAnsi" w:hAnsiTheme="majorHAnsi"/>
          <w:sz w:val="24"/>
          <w:szCs w:val="24"/>
        </w:rPr>
        <w:t xml:space="preserve"> poderão estar na posse da Contratada e ser de propriedade de empresa que integre o mesmo grupo econômico? </w:t>
      </w:r>
      <w:r>
        <w:rPr>
          <w:rFonts w:cs="Calibri Light" w:ascii="Calibri Light" w:hAnsi="Calibri Light" w:asciiTheme="majorHAnsi" w:cstheme="majorHAnsi" w:hAnsiTheme="majorHAnsi"/>
          <w:b/>
          <w:bCs/>
          <w:color w:val="C9211E"/>
          <w:sz w:val="24"/>
          <w:szCs w:val="24"/>
        </w:rPr>
        <w:t>Sim!</w:t>
      </w:r>
    </w:p>
    <w:p>
      <w:pPr>
        <w:pStyle w:val="ListParagraph"/>
        <w:tabs>
          <w:tab w:val="clear" w:pos="708"/>
          <w:tab w:val="left" w:pos="10206" w:leader="none"/>
        </w:tabs>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b/>
          <w:sz w:val="24"/>
          <w:szCs w:val="24"/>
        </w:rPr>
        <w:t>Ressaltamos que tais hipóteses não caracterizam “subcontratação” pois a Contratada se manterá diretamente na execução do contrato</w:t>
      </w:r>
      <w:r>
        <w:rPr>
          <w:rFonts w:cs="Calibri Light" w:ascii="Calibri Light" w:hAnsi="Calibri Light" w:asciiTheme="majorHAnsi" w:cstheme="majorHAnsi" w:hAnsiTheme="majorHAnsi"/>
          <w:sz w:val="24"/>
          <w:szCs w:val="24"/>
        </w:rPr>
        <w:t>.</w:t>
      </w:r>
    </w:p>
    <w:p>
      <w:pPr>
        <w:pStyle w:val="ListParagraph"/>
        <w:snapToGrid w:val="false"/>
        <w:spacing w:lineRule="auto" w:line="240" w:before="0" w:after="0"/>
        <w:ind w:left="0"/>
        <w:contextualSpacing w:val="false"/>
        <w:jc w:val="both"/>
        <w:rPr>
          <w:rFonts w:ascii="Calibri Light" w:hAnsi="Calibri Light" w:cs="Calibri Light" w:asciiTheme="majorHAnsi" w:cstheme="majorHAnsi" w:hAnsiTheme="majorHAnsi"/>
          <w:b/>
          <w:sz w:val="24"/>
          <w:szCs w:val="24"/>
          <w:u w:val="single"/>
        </w:rPr>
      </w:pPr>
      <w:r>
        <w:rPr>
          <w:rFonts w:cs="Calibri Light" w:cstheme="majorHAnsi" w:ascii="Calibri Light" w:hAnsi="Calibri Light"/>
          <w:b/>
          <w:sz w:val="24"/>
          <w:szCs w:val="24"/>
          <w:u w:val="single"/>
        </w:rPr>
      </w:r>
    </w:p>
    <w:p>
      <w:pPr>
        <w:pStyle w:val="ListParagraph"/>
        <w:snapToGrid w:val="false"/>
        <w:spacing w:lineRule="exact" w:line="360" w:before="120" w:after="160"/>
        <w:ind w:left="0"/>
        <w:contextualSpacing w:val="false"/>
        <w:jc w:val="both"/>
        <w:rPr>
          <w:rFonts w:ascii="Calibri Light" w:hAnsi="Calibri Light" w:cs="Calibri Light" w:asciiTheme="majorHAnsi" w:cstheme="majorHAnsi" w:hAnsiTheme="majorHAnsi"/>
          <w:b/>
          <w:sz w:val="24"/>
          <w:szCs w:val="24"/>
          <w:u w:val="single"/>
        </w:rPr>
      </w:pPr>
      <w:r>
        <w:rPr>
          <w:rFonts w:cs="Calibri Light" w:ascii="Calibri Light" w:hAnsi="Calibri Light" w:asciiTheme="majorHAnsi" w:cstheme="majorHAnsi" w:hAnsiTheme="majorHAnsi"/>
          <w:b/>
          <w:sz w:val="24"/>
          <w:szCs w:val="24"/>
          <w:u w:val="single"/>
        </w:rPr>
        <w:t>14-CRITÉRIO DE JULGAMENTO.</w:t>
      </w:r>
    </w:p>
    <w:p>
      <w:pPr>
        <w:pStyle w:val="Normal"/>
        <w:tabs>
          <w:tab w:val="clear" w:pos="708"/>
          <w:tab w:val="left" w:pos="10206" w:leader="none"/>
        </w:tabs>
        <w:snapToGrid w:val="false"/>
        <w:spacing w:lineRule="exact" w:line="360" w:before="120" w:after="160"/>
        <w:ind w:firstLine="567"/>
        <w:jc w:val="both"/>
        <w:rPr>
          <w:rFonts w:ascii="Calibri Light" w:hAnsi="Calibri Light" w:eastAsia="Arial Unicode MS" w:cs="Calibri Light" w:asciiTheme="majorHAnsi" w:cstheme="majorHAnsi" w:hAnsiTheme="majorHAnsi"/>
          <w:b/>
          <w:sz w:val="24"/>
          <w:szCs w:val="24"/>
        </w:rPr>
      </w:pPr>
      <w:r>
        <w:rPr>
          <w:rFonts w:cs="Calibri Light" w:ascii="Calibri Light" w:hAnsi="Calibri Light" w:asciiTheme="majorHAnsi" w:cstheme="majorHAnsi" w:hAnsiTheme="majorHAnsi"/>
          <w:bCs/>
          <w:sz w:val="24"/>
          <w:szCs w:val="24"/>
        </w:rPr>
        <w:t xml:space="preserve">O edital prevê que o critério de julgamento será o de </w:t>
      </w:r>
      <w:r>
        <w:rPr>
          <w:rFonts w:eastAsia="Arial Unicode MS" w:cs="Calibri Light" w:ascii="Calibri Light" w:hAnsi="Calibri Light" w:asciiTheme="majorHAnsi" w:cstheme="majorHAnsi" w:hAnsiTheme="majorHAnsi"/>
          <w:sz w:val="24"/>
          <w:szCs w:val="24"/>
        </w:rPr>
        <w:t>“</w:t>
      </w:r>
      <w:r>
        <w:rPr>
          <w:rFonts w:eastAsia="Arial Unicode MS" w:cs="Calibri Light" w:ascii="Calibri Light" w:hAnsi="Calibri Light" w:asciiTheme="majorHAnsi" w:cstheme="majorHAnsi" w:hAnsiTheme="majorHAnsi"/>
          <w:b/>
          <w:sz w:val="24"/>
          <w:szCs w:val="24"/>
        </w:rPr>
        <w:t>menor preço por item”.</w:t>
      </w:r>
    </w:p>
    <w:p>
      <w:pPr>
        <w:pStyle w:val="Normal"/>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Entretanto, para que não haja dúvidas sobre a opção que será adotada durante a etapa de lances apresentamos os exemplos descritos abaixo para aclarar o entendimento a assegurar a isonomia da disputa para todas as licitantes.</w:t>
      </w:r>
    </w:p>
    <w:p>
      <w:pPr>
        <w:pStyle w:val="Normal"/>
        <w:snapToGrid w:val="false"/>
        <w:spacing w:lineRule="exact" w:line="360" w:before="120" w:after="160"/>
        <w:ind w:firstLine="567"/>
        <w:jc w:val="both"/>
        <w:rPr>
          <w:rFonts w:ascii="Calibri Light" w:hAnsi="Calibri Light" w:cs="Calibri Light" w:asciiTheme="majorHAnsi" w:cstheme="majorHAnsi" w:hAnsiTheme="majorHAnsi"/>
          <w:sz w:val="24"/>
          <w:szCs w:val="24"/>
          <w:u w:val="single"/>
        </w:rPr>
      </w:pPr>
      <w:r>
        <w:rPr>
          <w:rFonts w:cs="Calibri Light" w:ascii="Calibri Light" w:hAnsi="Calibri Light" w:asciiTheme="majorHAnsi" w:cstheme="majorHAnsi" w:hAnsiTheme="majorHAnsi"/>
          <w:sz w:val="24"/>
          <w:szCs w:val="24"/>
        </w:rPr>
        <w:t xml:space="preserve">Na hipótese de locação de 15 veículos, a um preço mensal de R$ 1.000,00, com vigência contratual de 12 meses, para etapa de lances e de julgamento, </w:t>
      </w:r>
      <w:r>
        <w:rPr>
          <w:rFonts w:cs="Calibri Light" w:ascii="Calibri Light" w:hAnsi="Calibri Light" w:asciiTheme="majorHAnsi" w:cstheme="majorHAnsi" w:hAnsiTheme="majorHAnsi"/>
          <w:sz w:val="24"/>
          <w:szCs w:val="24"/>
          <w:u w:val="single"/>
        </w:rPr>
        <w:t>devemos seguir qual das opções de preços exemplificados abaixo?</w:t>
      </w:r>
    </w:p>
    <w:p>
      <w:pPr>
        <w:pStyle w:val="ListParagraph"/>
        <w:numPr>
          <w:ilvl w:val="0"/>
          <w:numId w:val="12"/>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Menor preço unitário mensal do item: R$ 1.000,00</w:t>
      </w:r>
    </w:p>
    <w:p>
      <w:pPr>
        <w:pStyle w:val="ListParagraph"/>
        <w:numPr>
          <w:ilvl w:val="0"/>
          <w:numId w:val="12"/>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Menor preço unitário anual do item: R$ 1.000,00 x 12 meses = R$ 12.000,00</w:t>
      </w:r>
    </w:p>
    <w:p>
      <w:pPr>
        <w:pStyle w:val="ListParagraph"/>
        <w:numPr>
          <w:ilvl w:val="0"/>
          <w:numId w:val="12"/>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Menor preço total mensal do item: R$ 1.000,00 x 15 veículos = R$ 15.000,00</w:t>
      </w:r>
    </w:p>
    <w:p>
      <w:pPr>
        <w:pStyle w:val="ListParagraph"/>
        <w:numPr>
          <w:ilvl w:val="0"/>
          <w:numId w:val="12"/>
        </w:numPr>
        <w:snapToGrid w:val="false"/>
        <w:spacing w:lineRule="exact" w:line="360" w:before="120" w:after="160"/>
        <w:contextualSpacing w:val="false"/>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Menor preço total anual do item: R$ 1.000,00 x 12 meses x 15 veículos = R$ 180.000,00</w:t>
      </w:r>
    </w:p>
    <w:p>
      <w:pPr>
        <w:pStyle w:val="NormalWeb"/>
        <w:snapToGrid w:val="false"/>
        <w:spacing w:beforeAutospacing="0" w:before="0" w:afterAutospacing="0" w:after="0"/>
        <w:jc w:val="both"/>
        <w:rPr>
          <w:rFonts w:ascii="Calibri Light" w:hAnsi="Calibri Light" w:cs="Calibri Light" w:asciiTheme="majorHAnsi" w:cstheme="majorHAnsi" w:hAnsiTheme="majorHAnsi"/>
          <w:u w:val="single"/>
        </w:rPr>
      </w:pPr>
      <w:r>
        <w:rPr>
          <w:rStyle w:val="Strong"/>
          <w:rFonts w:cs="Calibri Light" w:ascii="Calibri Light" w:hAnsi="Calibri Light" w:cstheme="majorHAnsi"/>
          <w:color w:val="C9211E"/>
          <w:u w:val="single"/>
        </w:rPr>
        <w:t>Resposta: Exemplo 1.</w:t>
      </w:r>
    </w:p>
    <w:p>
      <w:pPr>
        <w:pStyle w:val="NormalWeb"/>
        <w:snapToGrid w:val="false"/>
        <w:spacing w:lineRule="exact" w:line="360" w:beforeAutospacing="0" w:before="120" w:afterAutospacing="0" w:after="160"/>
        <w:jc w:val="both"/>
        <w:rPr>
          <w:rFonts w:ascii="Calibri Light" w:hAnsi="Calibri Light" w:cs="Calibri Light" w:asciiTheme="majorHAnsi" w:cstheme="majorHAnsi" w:hAnsiTheme="majorHAnsi"/>
        </w:rPr>
      </w:pPr>
      <w:r>
        <w:rPr>
          <w:rStyle w:val="Strong"/>
          <w:rFonts w:cs="Calibri Light" w:ascii="Calibri Light" w:hAnsi="Calibri Light" w:asciiTheme="majorHAnsi" w:cstheme="majorHAnsi" w:hAnsiTheme="majorHAnsi"/>
          <w:u w:val="single"/>
        </w:rPr>
        <w:t>15- DECLARAÇÕES DE VÍNCULO.</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O edital exige que a Contratada apresente a Declaração de Relação de Parentes conforme modelo disponibilizado no Anexo V.</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Contudo, referida previsão não está clara e prejudica o correto entendimento do edital.</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Isso porque não é razoável que tal regra seja aplicada de forma ampla com reflexos em todo e qualquer colaborador da empresa que será contratada, notadamente, para empresas com número significativo de empregados.</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Com efeito, visando garantir a ampliação da disputa com maior número de licitantes e assim obter-se o melhor preço à Prefeitura Municipal de Nova Iguaçu, questiona-se:</w:t>
      </w:r>
    </w:p>
    <w:p>
      <w:pPr>
        <w:pStyle w:val="NormalWeb"/>
        <w:snapToGrid w:val="false"/>
        <w:spacing w:lineRule="exact" w:line="360" w:beforeAutospacing="0" w:before="120" w:afterAutospacing="0" w:after="160"/>
        <w:ind w:firstLine="567"/>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 xml:space="preserve">É correto entender que referida regra aplica-se tão somente aos empregados da contratada diretamente responsáveis pela gestão dos respectivos contratos que serão firmados em decorrência da ARP? </w:t>
      </w:r>
      <w:r>
        <w:rPr>
          <w:rFonts w:cs="Calibri Light" w:ascii="Calibri Light" w:hAnsi="Calibri Light" w:asciiTheme="majorHAnsi" w:cstheme="majorHAnsi" w:hAnsiTheme="majorHAnsi"/>
          <w:b/>
          <w:bCs/>
          <w:color w:val="C9211E"/>
        </w:rPr>
        <w:t>Não poderão contratar com a prefeitura: o prefeito, o vice-prefeito, os vereadores e os servidores municipais, bem como as pessoas ligadas a qualquer delas por mais matrimônio ou parentesco afim ou consanguíneo, até o 2º grau, inclusive ou por adoção.</w:t>
      </w:r>
    </w:p>
    <w:p>
      <w:pPr>
        <w:pStyle w:val="Normal"/>
        <w:snapToGrid w:val="false"/>
        <w:spacing w:lineRule="auto" w:line="240" w:before="0" w:after="0"/>
        <w:jc w:val="both"/>
        <w:rPr>
          <w:rFonts w:ascii="Calibri Light" w:hAnsi="Calibri Light" w:cs="Calibri Light" w:asciiTheme="majorHAnsi" w:cstheme="majorHAnsi" w:hAnsiTheme="majorHAnsi"/>
          <w:b/>
          <w:bCs/>
          <w:sz w:val="24"/>
          <w:szCs w:val="24"/>
          <w:u w:val="single"/>
        </w:rPr>
      </w:pPr>
      <w:r>
        <w:rPr>
          <w:rFonts w:cs="Calibri Light" w:cstheme="majorHAnsi" w:ascii="Calibri Light" w:hAnsi="Calibri Light"/>
          <w:b/>
          <w:bCs/>
          <w:sz w:val="24"/>
          <w:szCs w:val="24"/>
          <w:u w:val="single"/>
        </w:rPr>
      </w:r>
      <w:bookmarkStart w:id="42" w:name="_Hlk164082658"/>
      <w:bookmarkStart w:id="43" w:name="_Hlk164082658"/>
    </w:p>
    <w:p>
      <w:pPr>
        <w:pStyle w:val="Normal"/>
        <w:snapToGrid w:val="false"/>
        <w:spacing w:lineRule="exact" w:line="360" w:before="120" w:after="160"/>
        <w:jc w:val="both"/>
        <w:rPr>
          <w:rFonts w:ascii="Calibri Light" w:hAnsi="Calibri Light" w:cs="Calibri Light" w:asciiTheme="majorHAnsi" w:cstheme="majorHAnsi" w:hAnsiTheme="majorHAnsi"/>
          <w:b/>
          <w:bCs/>
          <w:sz w:val="24"/>
          <w:szCs w:val="24"/>
        </w:rPr>
      </w:pPr>
      <w:r>
        <w:rPr>
          <w:rFonts w:cs="Calibri Light" w:ascii="Calibri Light" w:hAnsi="Calibri Light" w:asciiTheme="majorHAnsi" w:cstheme="majorHAnsi" w:hAnsiTheme="majorHAnsi"/>
          <w:b/>
          <w:bCs/>
          <w:sz w:val="24"/>
          <w:szCs w:val="24"/>
          <w:u w:val="single"/>
        </w:rPr>
        <w:t>16-OBRIGAÇÕES DA CONTRATADA- SIGILO</w:t>
      </w:r>
      <w:r>
        <w:rPr>
          <w:rFonts w:cs="Calibri Light" w:ascii="Calibri Light" w:hAnsi="Calibri Light" w:asciiTheme="majorHAnsi" w:cstheme="majorHAnsi" w:hAnsiTheme="majorHAnsi"/>
          <w:b/>
          <w:bCs/>
          <w:sz w:val="24"/>
          <w:szCs w:val="24"/>
        </w:rPr>
        <w:t>.</w:t>
      </w:r>
    </w:p>
    <w:p>
      <w:pPr>
        <w:pStyle w:val="PlainText"/>
        <w:snapToGrid w:val="false"/>
        <w:spacing w:lineRule="exact" w:line="360" w:before="120" w:after="160"/>
        <w:ind w:firstLine="567"/>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bCs/>
          <w:sz w:val="24"/>
          <w:szCs w:val="24"/>
        </w:rPr>
        <w:t>No item 9.6 do Termo de Referência consta regra estabelecendo que a contratada deverá manter sigilo sobre as informações decorrentes do contrato.</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shd w:fill="FFFFFF" w:val="clear"/>
        </w:rPr>
      </w:pPr>
      <w:r>
        <w:rPr>
          <w:rFonts w:cs="Calibri Light" w:ascii="Calibri Light" w:hAnsi="Calibri Light" w:asciiTheme="majorHAnsi" w:cstheme="majorHAnsi" w:hAnsiTheme="majorHAnsi"/>
          <w:bCs/>
          <w:sz w:val="24"/>
          <w:szCs w:val="24"/>
        </w:rPr>
        <w:t>Todavia, por cautela e excesso de zelo cabe destacar que todos os atos públicos exigem transparência e publicidade, por conseguinte, esta empresa tem por compromisso primar pela observância aos princípios legais e à legislação atinente à matéria e mantém ativo um “</w:t>
      </w:r>
      <w:r>
        <w:rPr>
          <w:rFonts w:cs="Calibri Light" w:ascii="Calibri Light" w:hAnsi="Calibri Light" w:asciiTheme="majorHAnsi" w:cstheme="majorHAnsi" w:hAnsiTheme="majorHAnsi"/>
          <w:sz w:val="24"/>
          <w:szCs w:val="24"/>
          <w:shd w:fill="FFFFFF" w:val="clear"/>
        </w:rPr>
        <w:t>Portal da Transparência” no qual são inseridas as informações relacionadas às contratações públicas decorrentes das licitações públicas que sagra-se vencedora.</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shd w:fill="FFFFFF" w:val="clear"/>
        </w:rPr>
      </w:pPr>
      <w:r>
        <w:rPr>
          <w:rFonts w:cs="Calibri Light" w:ascii="Calibri Light" w:hAnsi="Calibri Light" w:asciiTheme="majorHAnsi" w:cstheme="majorHAnsi" w:hAnsiTheme="majorHAnsi"/>
          <w:sz w:val="24"/>
          <w:szCs w:val="24"/>
          <w:shd w:fill="FFFFFF" w:val="clear"/>
        </w:rPr>
        <w:t>Com efeito, o Portal da Transparência desta empresa tem o objetivo de fornecer informações sobre os contratos que a empresa mantém com órgãos da Administração Pública, além de informar sobre Governança, Programa de Conformidade da companhia e afins, links úteis e legislações aplicáveis.</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shd w:fill="FFFFFF" w:val="clear"/>
        </w:rPr>
      </w:pPr>
      <w:r>
        <w:rPr>
          <w:rFonts w:cs="Calibri Light" w:ascii="Calibri Light" w:hAnsi="Calibri Light" w:asciiTheme="majorHAnsi" w:cstheme="majorHAnsi" w:hAnsiTheme="majorHAnsi"/>
          <w:sz w:val="24"/>
          <w:szCs w:val="24"/>
          <w:shd w:fill="FFFFFF" w:val="clear"/>
        </w:rPr>
        <w:t>Desta forma, entendemos que a obrigação exigida no item em referência não pode conflitar com a legalidade dos procedimentos adotados para dar publicidade e transparência aos processos públicos, dentre os quais destacamos o portal da transparência.</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sz w:val="24"/>
          <w:szCs w:val="24"/>
          <w:shd w:fill="FFFFFF" w:val="clear"/>
        </w:rPr>
      </w:pPr>
      <w:r>
        <w:rPr>
          <w:rFonts w:cs="Calibri Light" w:ascii="Calibri Light" w:hAnsi="Calibri Light" w:asciiTheme="majorHAnsi" w:cstheme="majorHAnsi" w:hAnsiTheme="majorHAnsi"/>
          <w:sz w:val="24"/>
          <w:szCs w:val="24"/>
          <w:shd w:fill="FFFFFF" w:val="clear"/>
        </w:rPr>
        <w:t>Assim, entendemos que a obrigação exigida deve ser aplicada no que couber, a fim de não conflitar com as medidas necessárias para garantir os princípios da publicidade, transparência e legalidade que devem nortear as contratações com empresas públicas.</w:t>
      </w:r>
    </w:p>
    <w:p>
      <w:pPr>
        <w:pStyle w:val="ListParagraph"/>
        <w:snapToGrid w:val="false"/>
        <w:spacing w:lineRule="exact" w:line="360" w:before="120" w:after="160"/>
        <w:ind w:firstLine="567" w:left="0"/>
        <w:contextualSpacing w:val="false"/>
        <w:jc w:val="both"/>
        <w:rPr>
          <w:rFonts w:ascii="Calibri Light" w:hAnsi="Calibri Light" w:cs="Calibri Light" w:asciiTheme="majorHAnsi" w:cstheme="majorHAnsi" w:hAnsiTheme="majorHAnsi"/>
          <w:bCs/>
          <w:sz w:val="24"/>
          <w:szCs w:val="24"/>
        </w:rPr>
      </w:pPr>
      <w:r>
        <w:rPr>
          <w:rFonts w:cs="Calibri Light" w:ascii="Calibri Light" w:hAnsi="Calibri Light" w:asciiTheme="majorHAnsi" w:cstheme="majorHAnsi" w:hAnsiTheme="majorHAnsi"/>
          <w:sz w:val="24"/>
          <w:szCs w:val="24"/>
          <w:shd w:fill="FFFFFF" w:val="clear"/>
        </w:rPr>
        <w:t xml:space="preserve"> </w:t>
      </w:r>
      <w:r>
        <w:rPr>
          <w:rFonts w:cs="Calibri Light" w:ascii="Calibri Light" w:hAnsi="Calibri Light" w:asciiTheme="majorHAnsi" w:cstheme="majorHAnsi" w:hAnsiTheme="majorHAnsi"/>
          <w:sz w:val="24"/>
          <w:szCs w:val="24"/>
          <w:shd w:fill="FFFFFF" w:val="clear"/>
        </w:rPr>
        <w:t>Está correto nosso entendimento?</w:t>
      </w:r>
      <w:r>
        <w:rPr>
          <w:rFonts w:cs="Calibri Light" w:ascii="Calibri Light" w:hAnsi="Calibri Light" w:asciiTheme="majorHAnsi" w:cstheme="majorHAnsi" w:hAnsiTheme="majorHAnsi"/>
          <w:bCs/>
          <w:sz w:val="24"/>
          <w:szCs w:val="24"/>
        </w:rPr>
        <w:t xml:space="preserve"> </w:t>
      </w:r>
      <w:bookmarkEnd w:id="43"/>
      <w:r>
        <w:rPr>
          <w:rFonts w:cs="Calibri Light" w:ascii="Calibri Light" w:hAnsi="Calibri Light" w:asciiTheme="majorHAnsi" w:cstheme="majorHAnsi" w:hAnsiTheme="majorHAnsi"/>
          <w:b/>
          <w:bCs/>
          <w:color w:val="C9211E"/>
          <w:sz w:val="24"/>
          <w:szCs w:val="24"/>
        </w:rPr>
        <w:t>Sim. Porém, não se trata do item 9.6 do Termo de referência, e sim da minuta contratual. Sim!</w:t>
      </w:r>
    </w:p>
    <w:p>
      <w:pPr>
        <w:pStyle w:val="Normal"/>
        <w:snapToGrid w:val="false"/>
        <w:spacing w:lineRule="auto" w:line="240" w:before="0" w:after="0"/>
        <w:jc w:val="both"/>
        <w:rPr>
          <w:rFonts w:ascii="Calibri Light" w:hAnsi="Calibri Light" w:eastAsia="Times New Roman" w:cs="Calibri Light" w:asciiTheme="majorHAnsi" w:cstheme="majorHAnsi" w:hAnsiTheme="majorHAnsi"/>
          <w:b/>
          <w:bCs/>
          <w:kern w:val="0"/>
          <w:sz w:val="24"/>
          <w:szCs w:val="24"/>
          <w:u w:val="single"/>
          <w:lang w:eastAsia="ko-KR"/>
          <w14:ligatures w14:val="none"/>
        </w:rPr>
      </w:pPr>
      <w:r>
        <w:rPr>
          <w:rFonts w:eastAsia="Times New Roman" w:cs="Calibri Light" w:cstheme="majorHAnsi" w:ascii="Calibri Light" w:hAnsi="Calibri Light"/>
          <w:b/>
          <w:bCs/>
          <w:kern w:val="0"/>
          <w:sz w:val="24"/>
          <w:szCs w:val="24"/>
          <w:u w:val="single"/>
          <w:lang w:eastAsia="ko-KR"/>
          <w14:ligatures w14:val="none"/>
        </w:rPr>
      </w:r>
    </w:p>
    <w:p>
      <w:pPr>
        <w:pStyle w:val="Normal"/>
        <w:snapToGrid w:val="false"/>
        <w:spacing w:lineRule="exact" w:line="360" w:before="120" w:after="160"/>
        <w:jc w:val="both"/>
        <w:rPr>
          <w:rFonts w:ascii="Calibri Light" w:hAnsi="Calibri Light" w:eastAsia="Times New Roman" w:cs="Calibri Light" w:asciiTheme="majorHAnsi" w:cstheme="majorHAnsi" w:hAnsiTheme="majorHAnsi"/>
          <w:kern w:val="0"/>
          <w:sz w:val="24"/>
          <w:szCs w:val="24"/>
          <w:lang w:eastAsia="ko-KR"/>
          <w14:ligatures w14:val="none"/>
        </w:rPr>
      </w:pPr>
      <w:r>
        <w:rPr>
          <w:rFonts w:eastAsia="Times New Roman" w:cs="Calibri Light" w:ascii="Calibri Light" w:hAnsi="Calibri Light" w:asciiTheme="majorHAnsi" w:cstheme="majorHAnsi" w:hAnsiTheme="majorHAnsi"/>
          <w:b/>
          <w:bCs/>
          <w:kern w:val="0"/>
          <w:sz w:val="24"/>
          <w:szCs w:val="24"/>
          <w:u w:val="single"/>
          <w:lang w:eastAsia="ko-KR"/>
          <w14:ligatures w14:val="none"/>
        </w:rPr>
        <w:t>17-RENOVAÇÃO DOS VEÍCULOS.</w:t>
      </w:r>
    </w:p>
    <w:p>
      <w:pPr>
        <w:pStyle w:val="Normal"/>
        <w:snapToGrid w:val="false"/>
        <w:spacing w:lineRule="exact" w:line="360" w:before="120" w:after="160"/>
        <w:ind w:firstLine="567"/>
        <w:jc w:val="both"/>
        <w:rPr>
          <w:rFonts w:ascii="Calibri Light" w:hAnsi="Calibri Light" w:eastAsia="Times New Roman" w:cs="Calibri Light" w:asciiTheme="majorHAnsi" w:cstheme="majorHAnsi" w:hAnsiTheme="majorHAnsi"/>
          <w:kern w:val="0"/>
          <w:sz w:val="24"/>
          <w:szCs w:val="24"/>
          <w:lang w:eastAsia="ko-KR"/>
          <w14:ligatures w14:val="none"/>
        </w:rPr>
      </w:pPr>
      <w:r>
        <w:rPr>
          <w:rFonts w:eastAsia="Times New Roman" w:cs="Calibri Light" w:ascii="Calibri Light" w:hAnsi="Calibri Light" w:asciiTheme="majorHAnsi" w:cstheme="majorHAnsi" w:hAnsiTheme="majorHAnsi"/>
          <w:kern w:val="0"/>
          <w:sz w:val="24"/>
          <w:szCs w:val="24"/>
          <w:lang w:eastAsia="ko-KR"/>
          <w14:ligatures w14:val="none"/>
        </w:rPr>
        <w:t>Quanto ao tema destacamos a seguinte previsão:</w:t>
      </w:r>
    </w:p>
    <w:p>
      <w:pPr>
        <w:pStyle w:val="Normal"/>
        <w:snapToGrid w:val="false"/>
        <w:spacing w:lineRule="exact" w:line="320" w:before="0" w:after="0"/>
        <w:ind w:left="851"/>
        <w:jc w:val="both"/>
        <w:rPr>
          <w:rFonts w:ascii="Calibri Light" w:hAnsi="Calibri Light" w:eastAsia="Times New Roman" w:cs="Calibri Light" w:asciiTheme="majorHAnsi" w:cstheme="majorHAnsi" w:hAnsiTheme="majorHAnsi"/>
          <w:i/>
          <w:i/>
          <w:iCs/>
          <w:kern w:val="0"/>
          <w:sz w:val="24"/>
          <w:szCs w:val="24"/>
          <w:lang w:eastAsia="ko-KR"/>
          <w14:ligatures w14:val="none"/>
        </w:rPr>
      </w:pPr>
      <w:r>
        <w:rPr>
          <w:rFonts w:eastAsia="Times New Roman" w:cs="Calibri Light" w:ascii="Calibri Light" w:hAnsi="Calibri Light" w:asciiTheme="majorHAnsi" w:cstheme="majorHAnsi" w:hAnsiTheme="majorHAnsi"/>
          <w:i/>
          <w:iCs/>
          <w:kern w:val="0"/>
          <w:sz w:val="24"/>
          <w:szCs w:val="24"/>
          <w:lang w:eastAsia="ko-KR"/>
          <w14:ligatures w14:val="none"/>
        </w:rPr>
        <w:t>5.31. Ao longo do contrato, os veículos poderão ter, no máximo 03 (três) anos de utilização ou 70.000 (setenta mil) quilômetros rodados e a substituição deverá acontecer no evento que ocorrer primeiro;</w:t>
      </w:r>
    </w:p>
    <w:p>
      <w:pPr>
        <w:pStyle w:val="NormalWeb"/>
        <w:spacing w:lineRule="exact" w:line="360" w:beforeAutospacing="0" w:before="120" w:afterAutospacing="0" w:after="160"/>
        <w:ind w:firstLine="567" w:right="-23"/>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Neste cenário, a exigência para renovação dos veículos ao atingirem 70.000 km rodados, implicará em significativo aumento dos preços considerados para precificação das propostas, notadamente porque os veículos costumam ter excelentes condições de uso e conservação, e não existem prejuízos operacionais caso sejam utilizados até o atingimento de quilometragem superior ao limite estabelecido.</w:t>
      </w:r>
    </w:p>
    <w:p>
      <w:pPr>
        <w:pStyle w:val="NormalWeb"/>
        <w:spacing w:lineRule="exact" w:line="360" w:beforeAutospacing="0" w:before="120" w:afterAutospacing="0" w:after="160"/>
        <w:ind w:firstLine="567" w:right="-23"/>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Frise-se</w:t>
      </w:r>
      <w:r>
        <w:rPr>
          <w:rStyle w:val="Ui-provider"/>
          <w:rFonts w:cs="Calibri Light" w:ascii="Calibri Light" w:hAnsi="Calibri Light" w:asciiTheme="majorHAnsi" w:cstheme="majorHAnsi" w:hAnsiTheme="majorHAnsi"/>
        </w:rPr>
        <w:t>, a licitante vencedora será responsável por toda manutenção necessária para garantir a conservação e qualidade dos serviços durante a execução do contrato.</w:t>
      </w:r>
    </w:p>
    <w:p>
      <w:pPr>
        <w:pStyle w:val="NormalWeb"/>
        <w:spacing w:lineRule="exact" w:line="360" w:beforeAutospacing="0" w:before="120" w:afterAutospacing="0" w:after="160"/>
        <w:ind w:firstLine="567" w:right="-23"/>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Com efeito, nesta hipótese, se for permitida a manutenção dos veículos em operação até atingirem 100.000 km, certamente, as licitantes terão mais flexibilidade para precificação de suas propostas e os preços ofertados serão mais vantajosos para a Administração.</w:t>
      </w:r>
    </w:p>
    <w:p>
      <w:pPr>
        <w:pStyle w:val="NormalWeb"/>
        <w:spacing w:lineRule="exact" w:line="360" w:beforeAutospacing="0" w:before="120" w:afterAutospacing="0" w:after="160"/>
        <w:ind w:firstLine="567" w:right="-23"/>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Neste contexto, condições mais flexíveis para renovação da frota certamente garantirão a ampliação da disputa com maiores chances de obter preços mais vantajosos para contratação.</w:t>
      </w:r>
    </w:p>
    <w:p>
      <w:pPr>
        <w:pStyle w:val="Normal"/>
        <w:spacing w:lineRule="exact" w:line="360" w:before="120" w:after="160"/>
        <w:ind w:firstLine="567" w:right="-23"/>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Desta forma, questiona-se:</w:t>
      </w:r>
    </w:p>
    <w:p>
      <w:pPr>
        <w:pStyle w:val="ListParagraph"/>
        <w:numPr>
          <w:ilvl w:val="0"/>
          <w:numId w:val="11"/>
        </w:numPr>
        <w:spacing w:lineRule="exact" w:line="360" w:before="120" w:after="160"/>
        <w:ind w:hanging="360" w:left="927" w:right="-23"/>
        <w:contextualSpacing w:val="false"/>
        <w:jc w:val="both"/>
        <w:rPr>
          <w:rStyle w:val="Ui-provider"/>
          <w:rFonts w:ascii="Calibri Light" w:hAnsi="Calibri Light" w:cs="Calibri Light" w:asciiTheme="majorHAnsi" w:cstheme="majorHAnsi" w:hAnsiTheme="majorHAnsi"/>
          <w:b/>
          <w:bCs/>
          <w:sz w:val="24"/>
          <w:szCs w:val="24"/>
          <w:u w:val="single"/>
        </w:rPr>
      </w:pPr>
      <w:r>
        <w:rPr>
          <w:rStyle w:val="Ui-provider"/>
          <w:rFonts w:cs="Calibri Light" w:ascii="Calibri Light" w:hAnsi="Calibri Light" w:asciiTheme="majorHAnsi" w:cstheme="majorHAnsi" w:hAnsiTheme="majorHAnsi"/>
          <w:sz w:val="24"/>
          <w:szCs w:val="24"/>
        </w:rPr>
        <w:t xml:space="preserve">A obrigação de renovação dos veículos pode ser cumprida quando atingirem 100.000 km rodados? </w:t>
      </w:r>
      <w:r>
        <w:rPr>
          <w:rStyle w:val="Ui-provider"/>
          <w:rFonts w:cs="Calibri Light" w:ascii="Calibri Light" w:hAnsi="Calibri Light" w:asciiTheme="majorHAnsi" w:cstheme="majorHAnsi" w:hAnsiTheme="majorHAnsi"/>
          <w:b/>
          <w:bCs/>
          <w:color w:val="C9211E"/>
          <w:sz w:val="24"/>
          <w:szCs w:val="24"/>
          <w:u w:val="none"/>
        </w:rPr>
        <w:t>Não! Pois o termo de referência deixa claro que o limite é 70.000,00 km rodados.</w:t>
      </w:r>
    </w:p>
    <w:p>
      <w:pPr>
        <w:pStyle w:val="ListParagraph"/>
        <w:numPr>
          <w:ilvl w:val="0"/>
          <w:numId w:val="11"/>
        </w:numPr>
        <w:spacing w:lineRule="exact" w:line="360" w:before="120" w:after="160"/>
        <w:contextualSpacing w:val="false"/>
        <w:jc w:val="both"/>
        <w:rPr>
          <w:rFonts w:ascii="Calibri Light" w:hAnsi="Calibri Light" w:cs="Calibri Light" w:asciiTheme="majorHAnsi" w:cstheme="majorHAnsi" w:hAnsiTheme="majorHAnsi"/>
          <w:sz w:val="24"/>
          <w:szCs w:val="24"/>
        </w:rPr>
      </w:pPr>
      <w:r>
        <w:rPr>
          <w:rStyle w:val="Ui-provider"/>
          <w:rFonts w:cs="Calibri Light" w:ascii="Calibri Light" w:hAnsi="Calibri Light" w:asciiTheme="majorHAnsi" w:cstheme="majorHAnsi" w:hAnsiTheme="majorHAnsi"/>
          <w:sz w:val="24"/>
          <w:szCs w:val="24"/>
        </w:rPr>
        <w:t>Qual</w:t>
      </w:r>
      <w:r>
        <w:rPr>
          <w:rFonts w:cs="Calibri Light" w:ascii="Calibri Light" w:hAnsi="Calibri Light" w:asciiTheme="majorHAnsi" w:cstheme="majorHAnsi" w:hAnsiTheme="majorHAnsi"/>
          <w:sz w:val="24"/>
          <w:szCs w:val="24"/>
        </w:rPr>
        <w:t xml:space="preserve"> a média mensal de quilometragem dos veículos locados para atendimento das operações relacionadas ao presente edital? </w:t>
      </w:r>
      <w:r>
        <w:rPr>
          <w:rFonts w:cs="Calibri Light" w:ascii="Calibri Light" w:hAnsi="Calibri Light" w:asciiTheme="majorHAnsi" w:cstheme="majorHAnsi" w:hAnsiTheme="majorHAnsi"/>
          <w:b/>
          <w:bCs/>
          <w:color w:val="C9211E"/>
          <w:sz w:val="24"/>
          <w:szCs w:val="24"/>
        </w:rPr>
        <w:t>700 km por mês.</w:t>
      </w:r>
    </w:p>
    <w:p>
      <w:pPr>
        <w:pStyle w:val="Normal"/>
        <w:spacing w:lineRule="auto" w:line="240" w:before="0" w:after="0"/>
        <w:ind w:right="-23"/>
        <w:jc w:val="both"/>
        <w:rPr>
          <w:rFonts w:ascii="Calibri Light" w:hAnsi="Calibri Light" w:cs="Calibri Light" w:asciiTheme="majorHAnsi" w:cstheme="majorHAnsi" w:hAnsiTheme="majorHAnsi"/>
          <w:bCs/>
          <w:sz w:val="24"/>
          <w:szCs w:val="24"/>
        </w:rPr>
      </w:pPr>
      <w:r>
        <w:rPr>
          <w:rFonts w:cs="Calibri Light" w:cstheme="majorHAnsi" w:ascii="Calibri Light" w:hAnsi="Calibri Light"/>
          <w:bCs/>
          <w:sz w:val="24"/>
          <w:szCs w:val="24"/>
        </w:rPr>
      </w:r>
    </w:p>
    <w:p>
      <w:pPr>
        <w:pStyle w:val="Normal"/>
        <w:spacing w:lineRule="exact" w:line="360" w:before="120" w:after="160"/>
        <w:jc w:val="both"/>
        <w:rPr>
          <w:rFonts w:ascii="Calibri Light" w:hAnsi="Calibri Light" w:cs="Calibri Light" w:asciiTheme="majorHAnsi" w:cstheme="majorHAnsi" w:hAnsiTheme="majorHAnsi"/>
          <w:b/>
          <w:bCs/>
          <w:sz w:val="24"/>
          <w:szCs w:val="24"/>
          <w:u w:val="single"/>
        </w:rPr>
      </w:pPr>
      <w:r>
        <w:rPr>
          <w:rFonts w:cs="Calibri Light" w:ascii="Calibri Light" w:hAnsi="Calibri Light" w:asciiTheme="majorHAnsi" w:cstheme="majorHAnsi" w:hAnsiTheme="majorHAnsi"/>
          <w:b/>
          <w:bCs/>
          <w:sz w:val="24"/>
          <w:szCs w:val="24"/>
          <w:u w:val="single"/>
        </w:rPr>
        <w:t>18-ENCARGOS DE MORA EM CASO DE ATRASO NO PAGAMENTO PELA CONTRATANTE.</w:t>
      </w:r>
    </w:p>
    <w:p>
      <w:pPr>
        <w:pStyle w:val="Normal"/>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Não há previsão no Edital e anexos quanto à incidência de juros de mora, correção monetária e multa caso haja inadimplemento no pagamento efetuado pela Contratante, por culpa exclusiva desta.</w:t>
      </w:r>
    </w:p>
    <w:p>
      <w:pPr>
        <w:pStyle w:val="Normal"/>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É certo que o pagamento com atraso sem imputação de encargos de mora acarretará o desequilíbrio econômico-financeiro do contrato, tendo em vista que a Contratada não poderá interromper a prestação de serviços imediatamente, devendo observar os requisitos legais.</w:t>
      </w:r>
    </w:p>
    <w:p>
      <w:pPr>
        <w:pStyle w:val="Normal"/>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 xml:space="preserve">Além disso, nos termos do artigo 404, do Código Civil, o inadimplemento gera perdas e danos ao credor, devendo seu crédito ser recomposto não apenas pela atualização monetária, mas também pela incidência de juros de mora e aplicação de multa. </w:t>
      </w:r>
    </w:p>
    <w:p>
      <w:pPr>
        <w:pStyle w:val="Normal"/>
        <w:spacing w:lineRule="exact" w:line="360" w:before="120" w:after="160"/>
        <w:ind w:firstLine="567"/>
        <w:jc w:val="both"/>
        <w:rPr>
          <w:rFonts w:ascii="Calibri Light" w:hAnsi="Calibri Light" w:cs="Calibri Light" w:asciiTheme="majorHAnsi" w:cstheme="majorHAnsi" w:hAnsiTheme="majorHAnsi"/>
          <w:sz w:val="24"/>
          <w:szCs w:val="24"/>
        </w:rPr>
      </w:pPr>
      <w:r>
        <w:rPr>
          <w:rFonts w:cs="Calibri Light" w:ascii="Calibri Light" w:hAnsi="Calibri Light" w:asciiTheme="majorHAnsi" w:cstheme="majorHAnsi" w:hAnsiTheme="majorHAnsi"/>
          <w:sz w:val="24"/>
          <w:szCs w:val="24"/>
        </w:rPr>
        <w:t>Desta forma, a licitante questiona-se:</w:t>
      </w:r>
    </w:p>
    <w:p>
      <w:pPr>
        <w:pStyle w:val="ListParagraph"/>
        <w:numPr>
          <w:ilvl w:val="0"/>
          <w:numId w:val="13"/>
        </w:numPr>
        <w:spacing w:lineRule="exact" w:line="360" w:before="120" w:after="160"/>
        <w:contextualSpacing w:val="false"/>
        <w:jc w:val="both"/>
        <w:rPr>
          <w:rFonts w:ascii="Calibri Light" w:hAnsi="Calibri Light" w:cs="Calibri Light" w:asciiTheme="majorHAnsi" w:cstheme="majorHAnsi" w:hAnsiTheme="majorHAnsi"/>
          <w:sz w:val="24"/>
          <w:szCs w:val="24"/>
        </w:rPr>
      </w:pPr>
      <w:bookmarkStart w:id="44" w:name="_Hlk156815091"/>
      <w:r>
        <w:rPr>
          <w:rFonts w:cs="Calibri Light" w:ascii="Calibri Light" w:hAnsi="Calibri Light" w:asciiTheme="majorHAnsi" w:cstheme="majorHAnsi" w:hAnsiTheme="majorHAnsi"/>
          <w:sz w:val="24"/>
          <w:szCs w:val="24"/>
        </w:rPr>
        <w:t>Quais serão as condições para aplicação da correção monetária, juros de mora e de multa que deverão ser aplicados em caso de atraso ou inadimplência da contratante, por culpa exclusiva desta?</w:t>
      </w:r>
      <w:bookmarkEnd w:id="44"/>
      <w:r>
        <w:rPr>
          <w:rFonts w:cs="Calibri Light" w:ascii="Calibri Light" w:hAnsi="Calibri Light" w:asciiTheme="majorHAnsi" w:cstheme="majorHAnsi" w:hAnsiTheme="majorHAnsi"/>
          <w:sz w:val="24"/>
          <w:szCs w:val="24"/>
        </w:rPr>
        <w:t xml:space="preserve"> </w:t>
      </w:r>
      <w:r>
        <w:rPr>
          <w:rFonts w:cs="Calibri Light" w:ascii="Calibri Light" w:hAnsi="Calibri Light" w:asciiTheme="majorHAnsi" w:cstheme="majorHAnsi" w:hAnsiTheme="majorHAnsi"/>
          <w:b/>
          <w:bCs/>
          <w:color w:val="C9211E"/>
          <w:sz w:val="24"/>
          <w:szCs w:val="24"/>
        </w:rPr>
        <w:t>Nenhuma, vez que tal item não será inserido no instrumento convocatório!</w:t>
      </w:r>
    </w:p>
    <w:p>
      <w:pPr>
        <w:pStyle w:val="Normal"/>
        <w:snapToGrid w:val="false"/>
        <w:spacing w:lineRule="exact" w:line="360" w:before="120" w:after="160"/>
        <w:ind w:firstLine="708"/>
        <w:jc w:val="both"/>
        <w:rPr>
          <w:rFonts w:ascii="Calibri Light" w:hAnsi="Calibri Light" w:cs="Calibri Light" w:asciiTheme="majorHAnsi" w:cstheme="majorHAnsi" w:hAnsiTheme="majorHAnsi"/>
          <w:sz w:val="24"/>
          <w:szCs w:val="24"/>
          <w:lang w:eastAsia="pt-BR"/>
        </w:rPr>
      </w:pPr>
      <w:r>
        <w:rPr>
          <w:rFonts w:cs="Calibri Light" w:cstheme="majorHAnsi" w:ascii="Calibri Light" w:hAnsi="Calibri Light"/>
          <w:sz w:val="24"/>
          <w:szCs w:val="24"/>
          <w:lang w:eastAsia="pt-BR"/>
        </w:rPr>
      </w:r>
    </w:p>
    <w:p>
      <w:pPr>
        <w:pStyle w:val="Normal"/>
        <w:snapToGrid w:val="false"/>
        <w:spacing w:lineRule="exact" w:line="360" w:before="120" w:after="160"/>
        <w:ind w:firstLine="708"/>
        <w:jc w:val="both"/>
        <w:rPr>
          <w:rFonts w:ascii="Calibri Light" w:hAnsi="Calibri Light" w:cs="Calibri Light" w:asciiTheme="majorHAnsi" w:cstheme="majorHAnsi" w:hAnsiTheme="majorHAnsi"/>
          <w:sz w:val="24"/>
          <w:szCs w:val="24"/>
          <w:lang w:eastAsia="pt-BR"/>
        </w:rPr>
      </w:pPr>
      <w:r>
        <w:rPr>
          <w:rFonts w:cs="Calibri Light" w:cstheme="majorHAnsi" w:ascii="Calibri Light" w:hAnsi="Calibri Light"/>
          <w:sz w:val="24"/>
          <w:szCs w:val="24"/>
          <w:lang w:eastAsia="pt-BR"/>
        </w:rPr>
      </w:r>
    </w:p>
    <w:p>
      <w:pPr>
        <w:pStyle w:val="Normal"/>
        <w:snapToGrid w:val="false"/>
        <w:spacing w:lineRule="exact" w:line="360" w:before="120" w:after="160"/>
        <w:ind w:firstLine="708"/>
        <w:jc w:val="both"/>
        <w:rPr>
          <w:rFonts w:ascii="Calibri Light" w:hAnsi="Calibri Light" w:cs="Calibri Light" w:asciiTheme="majorHAnsi" w:cstheme="majorHAnsi" w:hAnsiTheme="majorHAnsi"/>
          <w:sz w:val="24"/>
          <w:szCs w:val="24"/>
          <w:lang w:eastAsia="pt-BR"/>
        </w:rPr>
      </w:pPr>
      <w:r>
        <w:rPr>
          <w:rFonts w:cs="Calibri Light" w:cstheme="majorHAnsi" w:ascii="Calibri Light" w:hAnsi="Calibri Light"/>
          <w:sz w:val="24"/>
          <w:szCs w:val="24"/>
          <w:lang w:eastAsia="pt-BR"/>
        </w:rPr>
      </w:r>
    </w:p>
    <w:p>
      <w:pPr>
        <w:pStyle w:val="Normal"/>
        <w:snapToGrid w:val="false"/>
        <w:spacing w:lineRule="exact" w:line="360" w:before="120" w:after="160"/>
        <w:ind w:firstLine="708"/>
        <w:jc w:val="both"/>
        <w:rPr>
          <w:rFonts w:ascii="Calibri Light" w:hAnsi="Calibri Light" w:cs="Calibri Light" w:asciiTheme="majorHAnsi" w:cstheme="majorHAnsi" w:hAnsiTheme="majorHAnsi"/>
          <w:sz w:val="24"/>
          <w:szCs w:val="24"/>
          <w:lang w:eastAsia="pt-BR"/>
        </w:rPr>
      </w:pPr>
      <w:r>
        <w:rPr>
          <w:rFonts w:cs="Calibri Light" w:cstheme="majorHAnsi" w:ascii="Calibri Light" w:hAnsi="Calibri Light"/>
          <w:sz w:val="24"/>
          <w:szCs w:val="24"/>
          <w:lang w:eastAsia="pt-BR"/>
        </w:rPr>
      </w:r>
    </w:p>
    <w:sectPr>
      <w:headerReference w:type="default" r:id="rId2"/>
      <w:footerReference w:type="default" r:id="rId3"/>
      <w:type w:val="nextPage"/>
      <w:pgSz w:w="11906" w:h="16838"/>
      <w:pgMar w:left="1701" w:right="1416" w:gutter="0" w:header="1361" w:top="1418" w:footer="708"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Consolas">
    <w:charset w:val="00"/>
    <w:family w:val="roman"/>
    <w:pitch w:val="variable"/>
  </w:font>
  <w:font w:name="Arial">
    <w:charset w:val="00"/>
    <w:family w:val="roman"/>
    <w:pitch w:val="variable"/>
  </w:font>
  <w:font w:name="Segoe UI">
    <w:charset w:val="00"/>
    <w:family w:val="roman"/>
    <w:pitch w:val="variable"/>
  </w:font>
  <w:font w:name="Liberation Sans">
    <w:altName w:val="Arial"/>
    <w:charset w:val="00"/>
    <w:family w:val="roman"/>
    <w:pitch w:val="variable"/>
  </w:font>
  <w:font w:name="Verdan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drawing>
        <wp:anchor behindDoc="1" distT="0" distB="0" distL="0" distR="0" simplePos="0" locked="0" layoutInCell="0" allowOverlap="1" relativeHeight="16">
          <wp:simplePos x="0" y="0"/>
          <wp:positionH relativeFrom="page">
            <wp:posOffset>1143000</wp:posOffset>
          </wp:positionH>
          <wp:positionV relativeFrom="paragraph">
            <wp:posOffset>-289560</wp:posOffset>
          </wp:positionV>
          <wp:extent cx="6419215" cy="794385"/>
          <wp:effectExtent l="0" t="0" r="0" b="0"/>
          <wp:wrapNone/>
          <wp:docPr id="3" name="Imagem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8" descr=""/>
                  <pic:cNvPicPr>
                    <a:picLocks noChangeAspect="1" noChangeArrowheads="1"/>
                  </pic:cNvPicPr>
                </pic:nvPicPr>
                <pic:blipFill>
                  <a:blip r:embed="rId1"/>
                  <a:stretch>
                    <a:fillRect/>
                  </a:stretch>
                </pic:blipFill>
                <pic:spPr bwMode="auto">
                  <a:xfrm>
                    <a:off x="0" y="0"/>
                    <a:ext cx="6419215" cy="794385"/>
                  </a:xfrm>
                  <a:prstGeom prst="rect">
                    <a:avLst/>
                  </a:prstGeom>
                </pic:spPr>
              </pic:pic>
            </a:graphicData>
          </a:graphic>
        </wp:anchor>
      </w:drawing>
      <mc:AlternateContent>
        <mc:Choice Requires="wps">
          <w:drawing>
            <wp:anchor behindDoc="1" distT="0" distB="0" distL="0" distR="0" simplePos="0" locked="0" layoutInCell="1" allowOverlap="1" relativeHeight="45" wp14:anchorId="3EA8D6B4">
              <wp:simplePos x="0" y="0"/>
              <wp:positionH relativeFrom="column">
                <wp:posOffset>577215</wp:posOffset>
              </wp:positionH>
              <wp:positionV relativeFrom="page">
                <wp:posOffset>10088245</wp:posOffset>
              </wp:positionV>
              <wp:extent cx="929005" cy="234315"/>
              <wp:effectExtent l="0" t="0" r="0" b="0"/>
              <wp:wrapNone/>
              <wp:docPr id="4" name="Caixa de Texto 6"/>
              <a:graphic xmlns:a="http://schemas.openxmlformats.org/drawingml/2006/main">
                <a:graphicData uri="http://schemas.microsoft.com/office/word/2010/wordprocessingShape">
                  <wps:wsp>
                    <wps:cNvSpPr/>
                    <wps:spPr>
                      <a:xfrm>
                        <a:off x="0" y="0"/>
                        <a:ext cx="929160" cy="234360"/>
                      </a:xfrm>
                      <a:prstGeom prst="rect">
                        <a:avLst/>
                      </a:prstGeom>
                      <a:noFill/>
                      <a:ln w="9525">
                        <a:noFill/>
                      </a:ln>
                    </wps:spPr>
                    <wps:style>
                      <a:lnRef idx="0"/>
                      <a:fillRef idx="0"/>
                      <a:effectRef idx="0"/>
                      <a:fontRef idx="minor"/>
                    </wps:style>
                    <wps:txbx>
                      <w:txbxContent>
                        <w:p>
                          <w:pPr>
                            <w:pStyle w:val="Contedodoquadro"/>
                            <w:spacing w:before="0" w:after="160"/>
                            <w:rPr>
                              <w:bCs/>
                              <w:sz w:val="20"/>
                              <w:szCs w:val="20"/>
                            </w:rPr>
                          </w:pPr>
                          <w:r>
                            <w:rPr>
                              <w:bCs/>
                              <w:color w:val="FFFFFF"/>
                              <w:sz w:val="18"/>
                              <w:szCs w:val="18"/>
                            </w:rPr>
                            <w:t>(11) 2377-7000</w:t>
                          </w:r>
                        </w:p>
                      </w:txbxContent>
                    </wps:txbx>
                    <wps:bodyPr anchor="t">
                      <a:noAutofit/>
                    </wps:bodyPr>
                  </wps:wsp>
                </a:graphicData>
              </a:graphic>
            </wp:anchor>
          </w:drawing>
        </mc:Choice>
        <mc:Fallback>
          <w:pict>
            <v:rect id="shape_0" ID="Caixa de Texto 6" path="m0,0l-2147483645,0l-2147483645,-2147483646l0,-2147483646xe" stroked="f" o:allowincell="f" style="position:absolute;margin-left:45.45pt;margin-top:794.35pt;width:73.1pt;height:18.4pt;mso-wrap-style:square;v-text-anchor:top;mso-position-vertical-relative:page" wp14:anchorId="3EA8D6B4">
              <v:fill o:detectmouseclick="t" on="false"/>
              <v:stroke color="#3465a4" weight="9360" joinstyle="round" endcap="flat"/>
              <v:textbox>
                <w:txbxContent>
                  <w:p>
                    <w:pPr>
                      <w:pStyle w:val="Contedodoquadro"/>
                      <w:spacing w:before="0" w:after="160"/>
                      <w:rPr>
                        <w:bCs/>
                        <w:sz w:val="20"/>
                        <w:szCs w:val="20"/>
                      </w:rPr>
                    </w:pPr>
                    <w:r>
                      <w:rPr>
                        <w:bCs/>
                        <w:color w:val="FFFFFF"/>
                        <w:sz w:val="18"/>
                        <w:szCs w:val="18"/>
                      </w:rPr>
                      <w:t>(11) 2377-7000</w:t>
                    </w:r>
                  </w:p>
                </w:txbxContent>
              </v:textbox>
              <w10:wrap type="none"/>
            </v:rect>
          </w:pict>
        </mc:Fallback>
      </mc:AlternateContent>
      <mc:AlternateContent>
        <mc:Choice Requires="wps">
          <w:drawing>
            <wp:anchor behindDoc="1" distT="0" distB="0" distL="0" distR="0" simplePos="0" locked="0" layoutInCell="1" allowOverlap="1" relativeHeight="75" wp14:anchorId="26A03095">
              <wp:simplePos x="0" y="0"/>
              <wp:positionH relativeFrom="column">
                <wp:posOffset>577215</wp:posOffset>
              </wp:positionH>
              <wp:positionV relativeFrom="page">
                <wp:posOffset>10261600</wp:posOffset>
              </wp:positionV>
              <wp:extent cx="4356100" cy="233680"/>
              <wp:effectExtent l="0" t="0" r="0" b="0"/>
              <wp:wrapNone/>
              <wp:docPr id="5" name="Caixa de Texto 4"/>
              <a:graphic xmlns:a="http://schemas.openxmlformats.org/drawingml/2006/main">
                <a:graphicData uri="http://schemas.microsoft.com/office/word/2010/wordprocessingShape">
                  <wps:wsp>
                    <wps:cNvSpPr/>
                    <wps:spPr>
                      <a:xfrm>
                        <a:off x="0" y="0"/>
                        <a:ext cx="4356000" cy="233640"/>
                      </a:xfrm>
                      <a:prstGeom prst="rect">
                        <a:avLst/>
                      </a:prstGeom>
                      <a:noFill/>
                      <a:ln w="9525">
                        <a:noFill/>
                      </a:ln>
                    </wps:spPr>
                    <wps:style>
                      <a:lnRef idx="0"/>
                      <a:fillRef idx="0"/>
                      <a:effectRef idx="0"/>
                      <a:fontRef idx="minor"/>
                    </wps:style>
                    <wps:txbx>
                      <w:txbxContent>
                        <w:p>
                          <w:pPr>
                            <w:pStyle w:val="Contedodoquadro"/>
                            <w:spacing w:before="0" w:after="160"/>
                            <w:rPr>
                              <w:bCs/>
                              <w:sz w:val="20"/>
                              <w:szCs w:val="20"/>
                            </w:rPr>
                          </w:pPr>
                          <w:r>
                            <w:rPr>
                              <w:bCs/>
                              <w:color w:val="FFFFFF"/>
                              <w:sz w:val="18"/>
                              <w:szCs w:val="18"/>
                            </w:rPr>
                            <w:t>Avenida Saraiva, 400, Brás Cubas - Mogi das Cruzes/SP | CEP.: 08745–140</w:t>
                          </w:r>
                        </w:p>
                      </w:txbxContent>
                    </wps:txbx>
                    <wps:bodyPr anchor="t">
                      <a:noAutofit/>
                    </wps:bodyPr>
                  </wps:wsp>
                </a:graphicData>
              </a:graphic>
            </wp:anchor>
          </w:drawing>
        </mc:Choice>
        <mc:Fallback>
          <w:pict>
            <v:rect id="shape_0" ID="Caixa de Texto 4" path="m0,0l-2147483645,0l-2147483645,-2147483646l0,-2147483646xe" stroked="f" o:allowincell="f" style="position:absolute;margin-left:45.45pt;margin-top:808pt;width:342.95pt;height:18.35pt;mso-wrap-style:square;v-text-anchor:top;mso-position-vertical-relative:page" wp14:anchorId="26A03095">
              <v:fill o:detectmouseclick="t" on="false"/>
              <v:stroke color="#3465a4" weight="9360" joinstyle="round" endcap="flat"/>
              <v:textbox>
                <w:txbxContent>
                  <w:p>
                    <w:pPr>
                      <w:pStyle w:val="Contedodoquadro"/>
                      <w:spacing w:before="0" w:after="160"/>
                      <w:rPr>
                        <w:bCs/>
                        <w:sz w:val="20"/>
                        <w:szCs w:val="20"/>
                      </w:rPr>
                    </w:pPr>
                    <w:r>
                      <w:rPr>
                        <w:bCs/>
                        <w:color w:val="FFFFFF"/>
                        <w:sz w:val="18"/>
                        <w:szCs w:val="18"/>
                      </w:rPr>
                      <w:t>Avenida Saraiva, 400, Brás Cubas - Mogi das Cruzes/SP | CEP.: 08745–140</w:t>
                    </w:r>
                  </w:p>
                </w:txbxContent>
              </v:textbox>
              <w10:wrap type="none"/>
            </v:rect>
          </w:pict>
        </mc:Fallback>
      </mc:AlternateContent>
      <mc:AlternateContent>
        <mc:Choice Requires="wps">
          <w:drawing>
            <wp:anchor behindDoc="1" distT="0" distB="5080" distL="0" distR="0" simplePos="0" locked="0" layoutInCell="1" allowOverlap="1" relativeHeight="135" wp14:anchorId="0F936BC3">
              <wp:simplePos x="0" y="0"/>
              <wp:positionH relativeFrom="column">
                <wp:posOffset>418465</wp:posOffset>
              </wp:positionH>
              <wp:positionV relativeFrom="paragraph">
                <wp:posOffset>-235585</wp:posOffset>
              </wp:positionV>
              <wp:extent cx="3286760" cy="280670"/>
              <wp:effectExtent l="0" t="0" r="0" b="5080"/>
              <wp:wrapNone/>
              <wp:docPr id="6" name="Caixa de Texto 7"/>
              <a:graphic xmlns:a="http://schemas.openxmlformats.org/drawingml/2006/main">
                <a:graphicData uri="http://schemas.microsoft.com/office/word/2010/wordprocessingShape">
                  <wps:wsp>
                    <wps:cNvSpPr/>
                    <wps:spPr>
                      <a:xfrm>
                        <a:off x="0" y="0"/>
                        <a:ext cx="3286800" cy="280800"/>
                      </a:xfrm>
                      <a:prstGeom prst="rect">
                        <a:avLst/>
                      </a:prstGeom>
                      <a:noFill/>
                      <a:ln w="9525">
                        <a:noFill/>
                      </a:ln>
                    </wps:spPr>
                    <wps:style>
                      <a:lnRef idx="0"/>
                      <a:fillRef idx="0"/>
                      <a:effectRef idx="0"/>
                      <a:fontRef idx="minor"/>
                    </wps:style>
                    <wps:txbx>
                      <w:txbxContent>
                        <w:p>
                          <w:pPr>
                            <w:pStyle w:val="Contedodoquadro"/>
                            <w:spacing w:before="0" w:after="160"/>
                            <w:rPr>
                              <w:bCs/>
                              <w:sz w:val="24"/>
                              <w:szCs w:val="24"/>
                            </w:rPr>
                          </w:pPr>
                          <w:r>
                            <w:rPr>
                              <w:b/>
                              <w:color w:val="FFFFFF"/>
                              <w:sz w:val="24"/>
                              <w:szCs w:val="24"/>
                            </w:rPr>
                            <w:t xml:space="preserve">CS Frotas S.A | </w:t>
                          </w:r>
                          <w:r>
                            <w:rPr>
                              <w:bCs/>
                              <w:color w:val="FFFFFF"/>
                              <w:sz w:val="24"/>
                              <w:szCs w:val="24"/>
                            </w:rPr>
                            <w:t>CNPJ: 27.595.780/0001-16</w:t>
                          </w:r>
                        </w:p>
                      </w:txbxContent>
                    </wps:txbx>
                    <wps:bodyPr anchor="t">
                      <a:noAutofit/>
                    </wps:bodyPr>
                  </wps:wsp>
                </a:graphicData>
              </a:graphic>
            </wp:anchor>
          </w:drawing>
        </mc:Choice>
        <mc:Fallback>
          <w:pict>
            <v:rect id="shape_0" ID="Caixa de Texto 7" path="m0,0l-2147483645,0l-2147483645,-2147483646l0,-2147483646xe" stroked="f" o:allowincell="f" style="position:absolute;margin-left:32.95pt;margin-top:-18.55pt;width:258.75pt;height:22.05pt;mso-wrap-style:square;v-text-anchor:top" wp14:anchorId="0F936BC3">
              <v:fill o:detectmouseclick="t" on="false"/>
              <v:stroke color="#3465a4" weight="9360" joinstyle="round" endcap="flat"/>
              <v:textbox>
                <w:txbxContent>
                  <w:p>
                    <w:pPr>
                      <w:pStyle w:val="Contedodoquadro"/>
                      <w:spacing w:before="0" w:after="160"/>
                      <w:rPr>
                        <w:bCs/>
                        <w:sz w:val="24"/>
                        <w:szCs w:val="24"/>
                      </w:rPr>
                    </w:pPr>
                    <w:r>
                      <w:rPr>
                        <w:b/>
                        <w:color w:val="FFFFFF"/>
                        <w:sz w:val="24"/>
                        <w:szCs w:val="24"/>
                      </w:rPr>
                      <w:t xml:space="preserve">CS Frotas S.A | </w:t>
                    </w:r>
                    <w:r>
                      <w:rPr>
                        <w:bCs/>
                        <w:color w:val="FFFFFF"/>
                        <w:sz w:val="24"/>
                        <w:szCs w:val="24"/>
                      </w:rPr>
                      <w:t>CNPJ: 27.595.780/0001-16</w:t>
                    </w:r>
                  </w:p>
                </w:txbxContent>
              </v:textbox>
              <w10:wrap type="none"/>
            </v:rect>
          </w:pict>
        </mc:Fallback>
      </mc:AlternateContent>
      <mc:AlternateContent>
        <mc:Choice Requires="wps">
          <w:drawing>
            <wp:anchor behindDoc="1" distT="0" distB="0" distL="0" distR="0" simplePos="0" locked="0" layoutInCell="1" allowOverlap="1" relativeHeight="165" wp14:anchorId="1733025F">
              <wp:simplePos x="0" y="0"/>
              <wp:positionH relativeFrom="column">
                <wp:posOffset>1586865</wp:posOffset>
              </wp:positionH>
              <wp:positionV relativeFrom="page">
                <wp:posOffset>10128250</wp:posOffset>
              </wp:positionV>
              <wp:extent cx="1155700" cy="171450"/>
              <wp:effectExtent l="0" t="0" r="0" b="0"/>
              <wp:wrapNone/>
              <wp:docPr id="7" name="Caixa de Texto 5"/>
              <a:graphic xmlns:a="http://schemas.openxmlformats.org/drawingml/2006/main">
                <a:graphicData uri="http://schemas.microsoft.com/office/word/2010/wordprocessingShape">
                  <wps:wsp>
                    <wps:cNvSpPr/>
                    <wps:spPr>
                      <a:xfrm>
                        <a:off x="0" y="0"/>
                        <a:ext cx="1155600" cy="171360"/>
                      </a:xfrm>
                      <a:prstGeom prst="rect">
                        <a:avLst/>
                      </a:prstGeom>
                      <a:noFill/>
                      <a:ln w="9525">
                        <a:noFill/>
                      </a:ln>
                    </wps:spPr>
                    <wps:style>
                      <a:lnRef idx="0"/>
                      <a:fillRef idx="0"/>
                      <a:effectRef idx="0"/>
                      <a:fontRef idx="minor"/>
                    </wps:style>
                    <wps:txbx>
                      <w:txbxContent>
                        <w:p>
                          <w:pPr>
                            <w:pStyle w:val="Contedodoquadro"/>
                            <w:spacing w:lineRule="auto" w:line="120"/>
                            <w:rPr>
                              <w:bCs/>
                              <w:color w:val="FFFFFF"/>
                              <w:sz w:val="20"/>
                              <w:szCs w:val="20"/>
                            </w:rPr>
                          </w:pPr>
                          <w:r>
                            <w:rPr>
                              <w:bCs/>
                              <w:color w:val="FFFFFF"/>
                              <w:sz w:val="20"/>
                              <w:szCs w:val="20"/>
                            </w:rPr>
                            <w:t>csfrotas.com.br</w:t>
                          </w:r>
                        </w:p>
                        <w:p>
                          <w:pPr>
                            <w:pStyle w:val="Contedodoquadro"/>
                            <w:spacing w:before="0" w:after="160"/>
                            <w:rPr>
                              <w:bCs/>
                              <w:sz w:val="18"/>
                              <w:szCs w:val="18"/>
                            </w:rPr>
                          </w:pPr>
                          <w:r>
                            <w:rPr>
                              <w:bCs/>
                              <w:color w:val="000000"/>
                              <w:sz w:val="18"/>
                              <w:szCs w:val="18"/>
                            </w:rPr>
                          </w:r>
                        </w:p>
                      </w:txbxContent>
                    </wps:txbx>
                    <wps:bodyPr anchor="t">
                      <a:noAutofit/>
                    </wps:bodyPr>
                  </wps:wsp>
                </a:graphicData>
              </a:graphic>
            </wp:anchor>
          </w:drawing>
        </mc:Choice>
        <mc:Fallback>
          <w:pict>
            <v:rect id="shape_0" ID="Caixa de Texto 5" path="m0,0l-2147483645,0l-2147483645,-2147483646l0,-2147483646xe" stroked="f" o:allowincell="f" style="position:absolute;margin-left:124.95pt;margin-top:797.5pt;width:90.95pt;height:13.45pt;mso-wrap-style:square;v-text-anchor:top;mso-position-vertical-relative:page" wp14:anchorId="1733025F">
              <v:fill o:detectmouseclick="t" on="false"/>
              <v:stroke color="#3465a4" weight="9360" joinstyle="round" endcap="flat"/>
              <v:textbox>
                <w:txbxContent>
                  <w:p>
                    <w:pPr>
                      <w:pStyle w:val="Contedodoquadro"/>
                      <w:spacing w:lineRule="auto" w:line="120"/>
                      <w:rPr>
                        <w:bCs/>
                        <w:color w:val="FFFFFF"/>
                        <w:sz w:val="20"/>
                        <w:szCs w:val="20"/>
                      </w:rPr>
                    </w:pPr>
                    <w:r>
                      <w:rPr>
                        <w:bCs/>
                        <w:color w:val="FFFFFF"/>
                        <w:sz w:val="20"/>
                        <w:szCs w:val="20"/>
                      </w:rPr>
                      <w:t>csfrotas.com.br</w:t>
                    </w:r>
                  </w:p>
                  <w:p>
                    <w:pPr>
                      <w:pStyle w:val="Contedodoquadro"/>
                      <w:spacing w:before="0" w:after="160"/>
                      <w:rPr>
                        <w:bCs/>
                        <w:sz w:val="18"/>
                        <w:szCs w:val="18"/>
                      </w:rPr>
                    </w:pPr>
                    <w:r>
                      <w:rPr>
                        <w:bCs/>
                        <w:color w:val="000000"/>
                        <w:sz w:val="18"/>
                        <w:szCs w:val="18"/>
                      </w:rPr>
                    </w:r>
                  </w:p>
                </w:txbxContent>
              </v:textbox>
              <w10:wrap type="none"/>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91">
          <wp:simplePos x="0" y="0"/>
          <wp:positionH relativeFrom="margin">
            <wp:posOffset>3842385</wp:posOffset>
          </wp:positionH>
          <wp:positionV relativeFrom="topMargin">
            <wp:posOffset>212725</wp:posOffset>
          </wp:positionV>
          <wp:extent cx="1943735" cy="547370"/>
          <wp:effectExtent l="0" t="0" r="0" b="0"/>
          <wp:wrapNone/>
          <wp:docPr id="1" name="Imagem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3" descr=""/>
                  <pic:cNvPicPr>
                    <a:picLocks noChangeAspect="1" noChangeArrowheads="1"/>
                  </pic:cNvPicPr>
                </pic:nvPicPr>
                <pic:blipFill>
                  <a:blip r:embed="rId1"/>
                  <a:stretch>
                    <a:fillRect/>
                  </a:stretch>
                </pic:blipFill>
                <pic:spPr bwMode="auto">
                  <a:xfrm>
                    <a:off x="0" y="0"/>
                    <a:ext cx="1943735" cy="547370"/>
                  </a:xfrm>
                  <a:prstGeom prst="rect">
                    <a:avLst/>
                  </a:prstGeom>
                </pic:spPr>
              </pic:pic>
            </a:graphicData>
          </a:graphic>
        </wp:anchor>
      </w:drawing>
      <mc:AlternateContent>
        <mc:Choice Requires="wps">
          <w:drawing>
            <wp:anchor behindDoc="1" distT="0" distB="0" distL="0" distR="0" simplePos="0" locked="0" layoutInCell="0" allowOverlap="1" relativeHeight="106" wp14:anchorId="6D25A04C">
              <wp:simplePos x="0" y="0"/>
              <wp:positionH relativeFrom="page">
                <wp:align>left</wp:align>
              </wp:positionH>
              <wp:positionV relativeFrom="page">
                <wp:posOffset>6985</wp:posOffset>
              </wp:positionV>
              <wp:extent cx="503555" cy="10673715"/>
              <wp:effectExtent l="0" t="0" r="0" b="0"/>
              <wp:wrapNone/>
              <wp:docPr id="2" name="Retângulo 2"/>
              <a:graphic xmlns:a="http://schemas.openxmlformats.org/drawingml/2006/main">
                <a:graphicData uri="http://schemas.microsoft.com/office/word/2010/wordprocessingShape">
                  <wps:wsp>
                    <wps:cNvSpPr/>
                    <wps:spPr>
                      <a:xfrm>
                        <a:off x="0" y="0"/>
                        <a:ext cx="503640" cy="10673640"/>
                      </a:xfrm>
                      <a:prstGeom prst="rect">
                        <a:avLst/>
                      </a:prstGeom>
                      <a:solidFill>
                        <a:srgbClr val="f58338"/>
                      </a:solidFill>
                      <a:ln>
                        <a:noFill/>
                      </a:ln>
                    </wps:spPr>
                    <wps:style>
                      <a:lnRef idx="2">
                        <a:schemeClr val="accent1">
                          <a:shade val="15000"/>
                        </a:schemeClr>
                      </a:lnRef>
                      <a:fillRef idx="1">
                        <a:schemeClr val="accent1"/>
                      </a:fillRef>
                      <a:effectRef idx="0">
                        <a:schemeClr val="accent1"/>
                      </a:effectRef>
                      <a:fontRef idx="minor"/>
                    </wps:style>
                    <wps:bodyPr/>
                  </wps:wsp>
                </a:graphicData>
              </a:graphic>
            </wp:anchor>
          </w:drawing>
        </mc:Choice>
        <mc:Fallback>
          <w:pict>
            <v:rect id="shape_0" ID="Retângulo 2" path="m0,0l-2147483645,0l-2147483645,-2147483646l0,-2147483646xe" fillcolor="#f58338" stroked="f" o:allowincell="f" style="position:absolute;margin-left:0pt;margin-top:0.55pt;width:39.6pt;height:840.4pt;mso-wrap-style:none;v-text-anchor:middle;mso-position-horizontal:left;mso-position-horizontal-relative:page;mso-position-vertical-relative:page" wp14:anchorId="6D25A04C">
              <v:fill o:detectmouseclick="t" type="solid" color2="#0a7cc7"/>
              <v:stroke color="#3465a4" weight="12600" joinstyle="miter" endcap="flat"/>
              <w10:wrap type="non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927" w:hanging="360"/>
      </w:pPr>
      <w:rPr>
        <w:rFonts w:ascii="Calibri Light" w:hAnsi="Calibri Light" w:eastAsia="Times New Roman" w:cs="Calibri Light" w:asciiTheme="majorHAnsi" w:cstheme="majorHAnsi" w:hAnsiTheme="majorHAnsi"/>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3">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4">
    <w:lvl w:ilvl="0">
      <w:start w:val="1"/>
      <w:numFmt w:val="lowerLetter"/>
      <w:lvlText w:val="%1)"/>
      <w:lvlJc w:val="left"/>
      <w:pPr>
        <w:tabs>
          <w:tab w:val="num" w:pos="0"/>
        </w:tabs>
        <w:ind w:left="927" w:hanging="360"/>
      </w:pPr>
      <w:rPr>
        <w:sz w:val="22"/>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5">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6">
    <w:lvl w:ilvl="0">
      <w:start w:val="1"/>
      <w:numFmt w:val="lowerLetter"/>
      <w:lvlText w:val="%1)"/>
      <w:lvlJc w:val="left"/>
      <w:pPr>
        <w:tabs>
          <w:tab w:val="num" w:pos="0"/>
        </w:tabs>
        <w:ind w:left="927" w:hanging="360"/>
      </w:pPr>
      <w:rPr>
        <w:b w:val="false"/>
        <w:bCs w:val="false"/>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7">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8">
    <w:lvl w:ilvl="0">
      <w:start w:val="1"/>
      <w:numFmt w:val="lowerLetter"/>
      <w:lvlText w:val="%1)"/>
      <w:lvlJc w:val="left"/>
      <w:pPr>
        <w:tabs>
          <w:tab w:val="num" w:pos="0"/>
        </w:tabs>
        <w:ind w:left="720" w:hanging="360"/>
      </w:pPr>
      <w:rPr>
        <w:rFonts w:cs="Calibri" w:cstheme="minorHAns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lowerLetter"/>
      <w:lvlText w:val="%1)"/>
      <w:lvlJc w:val="left"/>
      <w:pPr>
        <w:tabs>
          <w:tab w:val="num" w:pos="0"/>
        </w:tabs>
        <w:ind w:left="720" w:hanging="360"/>
      </w:pPr>
      <w:rPr>
        <w:u w:val="none"/>
        <w:b w:val="false"/>
        <w:rFonts w:ascii="Calibri Light" w:hAnsi="Calibri Light" w:cs="Calibri Light" w:asciiTheme="majorHAnsi" w:cstheme="majorHAnsi" w:hAnsiTheme="majorHAns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lowerLetter"/>
      <w:lvlText w:val="%1)"/>
      <w:lvlJc w:val="left"/>
      <w:pPr>
        <w:tabs>
          <w:tab w:val="num" w:pos="0"/>
        </w:tabs>
        <w:ind w:left="927" w:hanging="360"/>
      </w:pPr>
      <w:rPr>
        <w:b w:val="false"/>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11">
    <w:lvl w:ilvl="0">
      <w:start w:val="1"/>
      <w:numFmt w:val="lowerLetter"/>
      <w:lvlText w:val="%1)"/>
      <w:lvlJc w:val="left"/>
      <w:pPr>
        <w:tabs>
          <w:tab w:val="num" w:pos="0"/>
        </w:tabs>
        <w:ind w:left="927" w:hanging="360"/>
      </w:pPr>
      <w:rPr>
        <w:u w:val="none"/>
        <w:b w:val="false"/>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12">
    <w:lvl w:ilvl="0">
      <w:start w:val="1"/>
      <w:numFmt w:val="decimal"/>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13">
    <w:lvl w:ilvl="0">
      <w:start w:val="1"/>
      <w:numFmt w:val="lowerLetter"/>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4">
    <w:lvl w:ilvl="0">
      <w:start w:val="1"/>
      <w:numFmt w:val="lowerLetter"/>
      <w:lvlText w:val="%1)"/>
      <w:lvlJc w:val="left"/>
      <w:pPr>
        <w:tabs>
          <w:tab w:val="num" w:pos="0"/>
        </w:tabs>
        <w:ind w:left="720" w:hanging="360"/>
      </w:pPr>
      <w:rPr>
        <w:u w:val="none"/>
        <w:b w:val="false"/>
        <w:rFonts w:ascii="Calibri Light" w:hAnsi="Calibri Light" w:cs="Calibri Light" w:asciiTheme="majorHAnsi" w:cstheme="majorHAnsi" w:hAnsiTheme="majorHAns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4"/>
    <w:lvlOverride w:ilvl="0">
      <w:startOverride w:val="1"/>
    </w:lvlOverride>
  </w:num>
  <w:num w:numId="17">
    <w:abstractNumId w:val="1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ko-KR"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pt-B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pt-BR" w:eastAsia="en-US" w:bidi="ar-SA"/>
      <w14:ligatures w14:val="standardContextual"/>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1e18a5"/>
    <w:rPr/>
  </w:style>
  <w:style w:type="character" w:styleId="RodapChar" w:customStyle="1">
    <w:name w:val="Rodapé Char"/>
    <w:basedOn w:val="DefaultParagraphFont"/>
    <w:uiPriority w:val="99"/>
    <w:qFormat/>
    <w:rsid w:val="001e18a5"/>
    <w:rPr/>
  </w:style>
  <w:style w:type="character" w:styleId="TtuloChar" w:customStyle="1">
    <w:name w:val="Título Char"/>
    <w:basedOn w:val="DefaultParagraphFont"/>
    <w:uiPriority w:val="10"/>
    <w:qFormat/>
    <w:rsid w:val="00997c07"/>
    <w:rPr>
      <w:rFonts w:ascii="Calibri Light" w:hAnsi="Calibri Light" w:eastAsia="" w:cs="" w:asciiTheme="majorHAnsi" w:cstheme="majorBidi" w:eastAsiaTheme="majorEastAsia" w:hAnsiTheme="majorHAnsi"/>
      <w:spacing w:val="-10"/>
      <w:kern w:val="2"/>
      <w:sz w:val="56"/>
      <w:szCs w:val="56"/>
    </w:rPr>
  </w:style>
  <w:style w:type="character" w:styleId="PargrafodaListaChar" w:customStyle="1">
    <w:name w:val="Parágrafo da Lista Char"/>
    <w:link w:val="ListParagraph"/>
    <w:uiPriority w:val="34"/>
    <w:qFormat/>
    <w:locked/>
    <w:rsid w:val="00d11955"/>
    <w:rPr>
      <w:rFonts w:ascii="Calibri" w:hAnsi="Calibri" w:eastAsia="Times New Roman" w:cs="Times New Roman"/>
      <w:kern w:val="0"/>
      <w:lang w:eastAsia="pt-BR"/>
      <w14:ligatures w14:val="none"/>
    </w:rPr>
  </w:style>
  <w:style w:type="character" w:styleId="TextosemFormataoChar" w:customStyle="1">
    <w:name w:val="Texto sem Formatação Char"/>
    <w:basedOn w:val="DefaultParagraphFont"/>
    <w:link w:val="PlainText"/>
    <w:qFormat/>
    <w:rsid w:val="00d11955"/>
    <w:rPr>
      <w:rFonts w:ascii="Consolas" w:hAnsi="Consolas" w:eastAsia="Calibri" w:cs="Consolas"/>
      <w:kern w:val="0"/>
      <w:sz w:val="21"/>
      <w:szCs w:val="21"/>
      <w14:ligatures w14:val="none"/>
    </w:rPr>
  </w:style>
  <w:style w:type="character" w:styleId="CorpodetextoChar" w:customStyle="1">
    <w:name w:val="Corpo de texto Char"/>
    <w:basedOn w:val="DefaultParagraphFont"/>
    <w:uiPriority w:val="1"/>
    <w:qFormat/>
    <w:rsid w:val="00cd5d43"/>
    <w:rPr>
      <w:rFonts w:ascii="Arial" w:hAnsi="Arial" w:eastAsia="Calibri" w:cs="Times New Roman"/>
      <w:kern w:val="0"/>
      <w:sz w:val="20"/>
      <w:szCs w:val="20"/>
      <w:lang w:val="x-none" w:eastAsia="x-none"/>
      <w14:ligatures w14:val="none"/>
    </w:rPr>
  </w:style>
  <w:style w:type="character" w:styleId="Ui-provider" w:customStyle="1">
    <w:name w:val="ui-provider"/>
    <w:basedOn w:val="DefaultParagraphFont"/>
    <w:qFormat/>
    <w:rsid w:val="008a4526"/>
    <w:rPr/>
  </w:style>
  <w:style w:type="character" w:styleId="Hyperlink">
    <w:name w:val="Hyperlink"/>
    <w:uiPriority w:val="99"/>
    <w:unhideWhenUsed/>
    <w:rsid w:val="00fb3c35"/>
    <w:rPr>
      <w:color w:val="0000FF"/>
      <w:u w:val="single"/>
    </w:rPr>
  </w:style>
  <w:style w:type="character" w:styleId="Annotationreference">
    <w:name w:val="annotation reference"/>
    <w:basedOn w:val="DefaultParagraphFont"/>
    <w:uiPriority w:val="99"/>
    <w:semiHidden/>
    <w:unhideWhenUsed/>
    <w:qFormat/>
    <w:rsid w:val="009d2201"/>
    <w:rPr>
      <w:sz w:val="16"/>
      <w:szCs w:val="16"/>
    </w:rPr>
  </w:style>
  <w:style w:type="character" w:styleId="TextodecomentrioChar" w:customStyle="1">
    <w:name w:val="Texto de comentário Char"/>
    <w:basedOn w:val="DefaultParagraphFont"/>
    <w:link w:val="Annotationtext"/>
    <w:uiPriority w:val="99"/>
    <w:semiHidden/>
    <w:qFormat/>
    <w:rsid w:val="009d2201"/>
    <w:rPr>
      <w:sz w:val="20"/>
      <w:szCs w:val="20"/>
    </w:rPr>
  </w:style>
  <w:style w:type="character" w:styleId="AssuntodocomentrioChar" w:customStyle="1">
    <w:name w:val="Assunto do comentário Char"/>
    <w:basedOn w:val="TextodecomentrioChar"/>
    <w:link w:val="Annotationsubject"/>
    <w:uiPriority w:val="99"/>
    <w:semiHidden/>
    <w:qFormat/>
    <w:rsid w:val="009d2201"/>
    <w:rPr>
      <w:b/>
      <w:bCs/>
      <w:sz w:val="20"/>
      <w:szCs w:val="20"/>
    </w:rPr>
  </w:style>
  <w:style w:type="character" w:styleId="TextodebaloChar" w:customStyle="1">
    <w:name w:val="Texto de balão Char"/>
    <w:basedOn w:val="DefaultParagraphFont"/>
    <w:link w:val="BalloonText"/>
    <w:uiPriority w:val="99"/>
    <w:semiHidden/>
    <w:qFormat/>
    <w:rsid w:val="009d2201"/>
    <w:rPr>
      <w:rFonts w:ascii="Segoe UI" w:hAnsi="Segoe UI" w:cs="Segoe UI"/>
      <w:sz w:val="18"/>
      <w:szCs w:val="18"/>
    </w:rPr>
  </w:style>
  <w:style w:type="character" w:styleId="Strong">
    <w:name w:val="Strong"/>
    <w:basedOn w:val="DefaultParagraphFont"/>
    <w:uiPriority w:val="22"/>
    <w:qFormat/>
    <w:rsid w:val="007006c9"/>
    <w:rPr>
      <w:b/>
      <w:bCs/>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CorpodetextoChar"/>
    <w:uiPriority w:val="1"/>
    <w:qFormat/>
    <w:rsid w:val="00cd5d43"/>
    <w:pPr>
      <w:spacing w:lineRule="auto" w:line="240" w:before="0" w:after="0"/>
      <w:ind w:left="39"/>
    </w:pPr>
    <w:rPr>
      <w:rFonts w:ascii="Arial" w:hAnsi="Arial" w:eastAsia="Calibri" w:cs="Times New Roman"/>
      <w:kern w:val="0"/>
      <w:sz w:val="20"/>
      <w:szCs w:val="20"/>
      <w:lang w:val="x-none" w:eastAsia="x-none"/>
      <w14:ligatures w14:val="none"/>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CabealhoeRodap">
    <w:name w:val="Cabeçalho e Rodapé"/>
    <w:basedOn w:val="Normal"/>
    <w:qFormat/>
    <w:pPr/>
    <w:rPr/>
  </w:style>
  <w:style w:type="paragraph" w:styleId="Header">
    <w:name w:val="Header"/>
    <w:basedOn w:val="Normal"/>
    <w:link w:val="CabealhoChar"/>
    <w:uiPriority w:val="99"/>
    <w:unhideWhenUsed/>
    <w:rsid w:val="001e18a5"/>
    <w:pPr>
      <w:tabs>
        <w:tab w:val="clear" w:pos="708"/>
        <w:tab w:val="center" w:pos="4252" w:leader="none"/>
        <w:tab w:val="right" w:pos="8504" w:leader="none"/>
      </w:tabs>
      <w:spacing w:lineRule="auto" w:line="240" w:before="0" w:after="0"/>
    </w:pPr>
    <w:rPr/>
  </w:style>
  <w:style w:type="paragraph" w:styleId="Footer">
    <w:name w:val="Footer"/>
    <w:basedOn w:val="Normal"/>
    <w:link w:val="RodapChar"/>
    <w:uiPriority w:val="99"/>
    <w:unhideWhenUsed/>
    <w:rsid w:val="001e18a5"/>
    <w:pPr>
      <w:tabs>
        <w:tab w:val="clear" w:pos="708"/>
        <w:tab w:val="center" w:pos="4252" w:leader="none"/>
        <w:tab w:val="right" w:pos="8504" w:leader="none"/>
      </w:tabs>
      <w:spacing w:lineRule="auto" w:line="240" w:before="0" w:after="0"/>
    </w:pPr>
    <w:rPr/>
  </w:style>
  <w:style w:type="paragraph" w:styleId="Title">
    <w:name w:val="Title"/>
    <w:basedOn w:val="Normal"/>
    <w:next w:val="Normal"/>
    <w:link w:val="TtuloChar"/>
    <w:uiPriority w:val="10"/>
    <w:qFormat/>
    <w:rsid w:val="00997c07"/>
    <w:pPr>
      <w:spacing w:lineRule="auto" w:line="240" w:before="0" w:after="0"/>
      <w:contextualSpacing/>
    </w:pPr>
    <w:rPr>
      <w:rFonts w:ascii="Calibri Light" w:hAnsi="Calibri Light" w:eastAsia="" w:cs="" w:asciiTheme="majorHAnsi" w:cstheme="majorBidi" w:eastAsiaTheme="majorEastAsia" w:hAnsiTheme="majorHAnsi"/>
      <w:spacing w:val="-10"/>
      <w:kern w:val="2"/>
      <w:sz w:val="56"/>
      <w:szCs w:val="56"/>
    </w:rPr>
  </w:style>
  <w:style w:type="paragraph" w:styleId="Default" w:customStyle="1">
    <w:name w:val="Default"/>
    <w:qFormat/>
    <w:rsid w:val="00dc5b95"/>
    <w:pPr>
      <w:widowControl/>
      <w:suppressAutoHyphens w:val="true"/>
      <w:bidi w:val="0"/>
      <w:spacing w:lineRule="auto" w:line="240" w:before="0" w:after="0"/>
      <w:jc w:val="left"/>
    </w:pPr>
    <w:rPr>
      <w:rFonts w:ascii="Verdana" w:hAnsi="Verdana" w:eastAsia="Calibri" w:cs="Verdana"/>
      <w:color w:val="000000"/>
      <w:kern w:val="0"/>
      <w:sz w:val="24"/>
      <w:szCs w:val="24"/>
      <w:lang w:val="pt-BR" w:eastAsia="en-US" w:bidi="ar-SA"/>
      <w14:ligatures w14:val="none"/>
    </w:rPr>
  </w:style>
  <w:style w:type="paragraph" w:styleId="ListParagraph">
    <w:name w:val="List Paragraph"/>
    <w:basedOn w:val="Normal"/>
    <w:link w:val="PargrafodaListaChar"/>
    <w:uiPriority w:val="34"/>
    <w:qFormat/>
    <w:rsid w:val="00d11955"/>
    <w:pPr>
      <w:spacing w:lineRule="auto" w:line="276" w:before="0" w:after="200"/>
      <w:ind w:left="720"/>
      <w:contextualSpacing/>
    </w:pPr>
    <w:rPr>
      <w:rFonts w:ascii="Calibri" w:hAnsi="Calibri" w:eastAsia="Times New Roman" w:cs="Times New Roman"/>
      <w:kern w:val="0"/>
      <w:lang w:eastAsia="pt-BR"/>
      <w14:ligatures w14:val="none"/>
    </w:rPr>
  </w:style>
  <w:style w:type="paragraph" w:styleId="Standard" w:customStyle="1">
    <w:name w:val="Standard"/>
    <w:qFormat/>
    <w:rsid w:val="00d11955"/>
    <w:pPr>
      <w:widowControl/>
      <w:suppressAutoHyphens w:val="true"/>
      <w:bidi w:val="0"/>
      <w:spacing w:lineRule="auto" w:line="276" w:before="0" w:after="200"/>
      <w:jc w:val="left"/>
      <w:textAlignment w:val="baseline"/>
    </w:pPr>
    <w:rPr>
      <w:rFonts w:ascii="Calibri" w:hAnsi="Calibri" w:eastAsia="Calibri" w:cs="Times New Roman"/>
      <w:color w:val="auto"/>
      <w:kern w:val="2"/>
      <w:sz w:val="22"/>
      <w:szCs w:val="22"/>
      <w:lang w:val="pt-BR" w:eastAsia="zh-CN" w:bidi="ar-SA"/>
      <w14:ligatures w14:val="none"/>
    </w:rPr>
  </w:style>
  <w:style w:type="paragraph" w:styleId="PlainText">
    <w:name w:val="Plain Text"/>
    <w:basedOn w:val="Normal"/>
    <w:link w:val="TextosemFormataoChar"/>
    <w:unhideWhenUsed/>
    <w:qFormat/>
    <w:rsid w:val="00d11955"/>
    <w:pPr>
      <w:spacing w:lineRule="auto" w:line="240" w:before="0" w:after="0"/>
    </w:pPr>
    <w:rPr>
      <w:rFonts w:ascii="Consolas" w:hAnsi="Consolas" w:eastAsia="Calibri" w:cs="Consolas"/>
      <w:kern w:val="0"/>
      <w:sz w:val="21"/>
      <w:szCs w:val="21"/>
      <w14:ligatures w14:val="none"/>
    </w:rPr>
  </w:style>
  <w:style w:type="paragraph" w:styleId="NormalWeb">
    <w:name w:val="Normal (Web)"/>
    <w:basedOn w:val="Normal"/>
    <w:uiPriority w:val="99"/>
    <w:unhideWhenUsed/>
    <w:qFormat/>
    <w:rsid w:val="00044b71"/>
    <w:pPr>
      <w:spacing w:lineRule="auto" w:line="240" w:beforeAutospacing="1" w:afterAutospacing="1"/>
    </w:pPr>
    <w:rPr>
      <w:rFonts w:ascii="Times New Roman" w:hAnsi="Times New Roman" w:eastAsia="Times New Roman" w:cs="Times New Roman"/>
      <w:kern w:val="0"/>
      <w:sz w:val="24"/>
      <w:szCs w:val="24"/>
      <w:lang w:eastAsia="pt-BR"/>
      <w14:ligatures w14:val="none"/>
    </w:rPr>
  </w:style>
  <w:style w:type="paragraph" w:styleId="Annotationtext">
    <w:name w:val="annotation text"/>
    <w:basedOn w:val="Normal"/>
    <w:link w:val="TextodecomentrioChar"/>
    <w:uiPriority w:val="99"/>
    <w:semiHidden/>
    <w:unhideWhenUsed/>
    <w:qFormat/>
    <w:rsid w:val="009d2201"/>
    <w:pPr>
      <w:spacing w:lineRule="auto" w:line="240"/>
    </w:pPr>
    <w:rPr>
      <w:sz w:val="20"/>
      <w:szCs w:val="20"/>
    </w:rPr>
  </w:style>
  <w:style w:type="paragraph" w:styleId="Annotationsubject">
    <w:name w:val="annotation subject"/>
    <w:basedOn w:val="Annotationtext"/>
    <w:next w:val="Annotationtext"/>
    <w:link w:val="AssuntodocomentrioChar"/>
    <w:uiPriority w:val="99"/>
    <w:semiHidden/>
    <w:unhideWhenUsed/>
    <w:qFormat/>
    <w:rsid w:val="009d2201"/>
    <w:pPr/>
    <w:rPr>
      <w:b/>
      <w:bCs/>
    </w:rPr>
  </w:style>
  <w:style w:type="paragraph" w:styleId="BalloonText">
    <w:name w:val="Balloon Text"/>
    <w:basedOn w:val="Normal"/>
    <w:link w:val="TextodebaloChar"/>
    <w:uiPriority w:val="99"/>
    <w:semiHidden/>
    <w:unhideWhenUsed/>
    <w:qFormat/>
    <w:rsid w:val="009d2201"/>
    <w:pPr>
      <w:spacing w:lineRule="auto" w:line="240" w:before="0" w:after="0"/>
    </w:pPr>
    <w:rPr>
      <w:rFonts w:ascii="Segoe UI" w:hAnsi="Segoe UI" w:cs="Segoe UI"/>
      <w:sz w:val="18"/>
      <w:szCs w:val="18"/>
    </w:rPr>
  </w:style>
  <w:style w:type="paragraph" w:styleId="Revision">
    <w:name w:val="Revision"/>
    <w:uiPriority w:val="99"/>
    <w:semiHidden/>
    <w:qFormat/>
    <w:rsid w:val="0089342c"/>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2"/>
      <w:sz w:val="22"/>
      <w:szCs w:val="22"/>
      <w:lang w:val="pt-BR" w:eastAsia="en-US" w:bidi="ar-SA"/>
      <w14:ligatures w14:val="standardContextual"/>
    </w:rPr>
  </w:style>
  <w:style w:type="paragraph" w:styleId="Contedodoquadro">
    <w:name w:val="Conteúdo do quadro"/>
    <w:basedOn w:val="Normal"/>
    <w:qFormat/>
    <w:pPr/>
    <w:rPr/>
  </w:style>
  <w:style w:type="paragraph" w:styleId="Blocodecitao">
    <w:name w:val="Bloco de citação"/>
    <w:basedOn w:val="Normal"/>
    <w:qFormat/>
    <w:pPr>
      <w:spacing w:before="0" w:after="283"/>
      <w:ind w:hanging="0" w:left="567" w:right="567"/>
    </w:pPr>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 Id="rId9" Type="http://schemas.openxmlformats.org/officeDocument/2006/relationships/customXml" Target="../customXml/item2.xml"/><Relationship Id="rId10" Type="http://schemas.openxmlformats.org/officeDocument/2006/relationships/customXml" Target="../customXml/item3.xml"/><Relationship Id="rId11" Type="http://schemas.openxmlformats.org/officeDocument/2006/relationships/customXml" Target="../customXml/item4.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6ddc5d13-6313-43d5-bc20-9640f2d8264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9CF5165B0011694BB1EA9D2E918CCA88" ma:contentTypeVersion="17" ma:contentTypeDescription="Crie um novo documento." ma:contentTypeScope="" ma:versionID="399896195d561ebd39ba3ef3283354bf">
  <xsd:schema xmlns:xsd="http://www.w3.org/2001/XMLSchema" xmlns:xs="http://www.w3.org/2001/XMLSchema" xmlns:p="http://schemas.microsoft.com/office/2006/metadata/properties" xmlns:ns1="http://schemas.microsoft.com/sharepoint/v3" xmlns:ns3="44c7651b-79aa-46e9-9e51-20e869a47650" xmlns:ns4="6ddc5d13-6313-43d5-bc20-9640f2d8264d" targetNamespace="http://schemas.microsoft.com/office/2006/metadata/properties" ma:root="true" ma:fieldsID="35785e8fafa113ff1a2091c6880850fa" ns1:_="" ns3:_="" ns4:_="">
    <xsd:import namespace="http://schemas.microsoft.com/sharepoint/v3"/>
    <xsd:import namespace="44c7651b-79aa-46e9-9e51-20e869a47650"/>
    <xsd:import namespace="6ddc5d13-6313-43d5-bc20-9640f2d8264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1:_ip_UnifiedCompliancePolicyProperties" minOccurs="0"/>
                <xsd:element ref="ns1:_ip_UnifiedCompliancePolicyUIAction" minOccurs="0"/>
                <xsd:element ref="ns4:MediaServiceAutoTags" minOccurs="0"/>
                <xsd:element ref="ns4:MediaServiceOCR" minOccurs="0"/>
                <xsd:element ref="ns4:MediaServiceGenerationTime" minOccurs="0"/>
                <xsd:element ref="ns4:MediaServiceEventHashCode" minOccurs="0"/>
                <xsd:element ref="ns4:_activity" minOccurs="0"/>
                <xsd:element ref="ns4:MediaServiceObjectDetectorVersions" minOccurs="0"/>
                <xsd:element ref="ns4:MediaServiceDateTaken" minOccurs="0"/>
                <xsd:element ref="ns4:MediaServiceSystemTags" minOccurs="0"/>
                <xsd:element ref="ns4:MediaLengthInSecond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Propriedades da Política de Conformidade Unificada" ma:hidden="true" ma:internalName="_ip_UnifiedCompliancePolicyProperties">
      <xsd:simpleType>
        <xsd:restriction base="dms:Note"/>
      </xsd:simpleType>
    </xsd:element>
    <xsd:element name="_ip_UnifiedCompliancePolicyUIAction" ma:index="14"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c7651b-79aa-46e9-9e51-20e869a47650" elementFormDefault="qualified">
    <xsd:import namespace="http://schemas.microsoft.com/office/2006/documentManagement/types"/>
    <xsd:import namespace="http://schemas.microsoft.com/office/infopath/2007/PartnerControls"/>
    <xsd:element name="SharedWithUsers" ma:index="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hes de Compartilhado Com" ma:internalName="SharedWithDetails" ma:readOnly="true">
      <xsd:simpleType>
        <xsd:restriction base="dms:Note">
          <xsd:maxLength value="255"/>
        </xsd:restriction>
      </xsd:simpleType>
    </xsd:element>
    <xsd:element name="SharingHintHash" ma:index="10" nillable="true" ma:displayName="Hash de Dica de Compartilhamento"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dc5d13-6313-43d5-bc20-9640f2d8264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363544-E480-4C61-9641-7F96FEA55D70}">
  <ds:schemaRefs>
    <ds:schemaRef ds:uri="http://schemas.openxmlformats.org/officeDocument/2006/bibliography"/>
  </ds:schemaRefs>
</ds:datastoreItem>
</file>

<file path=customXml/itemProps2.xml><?xml version="1.0" encoding="utf-8"?>
<ds:datastoreItem xmlns:ds="http://schemas.openxmlformats.org/officeDocument/2006/customXml" ds:itemID="{8C8D7B35-30A7-4F62-AED7-0D3752A43AA7}">
  <ds:schemaRefs>
    <ds:schemaRef ds:uri="http://schemas.microsoft.com/office/2006/metadata/properties"/>
    <ds:schemaRef ds:uri="http://schemas.microsoft.com/office/infopath/2007/PartnerControls"/>
    <ds:schemaRef ds:uri="http://schemas.microsoft.com/sharepoint/v3"/>
    <ds:schemaRef ds:uri="6ddc5d13-6313-43d5-bc20-9640f2d8264d"/>
  </ds:schemaRefs>
</ds:datastoreItem>
</file>

<file path=customXml/itemProps3.xml><?xml version="1.0" encoding="utf-8"?>
<ds:datastoreItem xmlns:ds="http://schemas.openxmlformats.org/officeDocument/2006/customXml" ds:itemID="{6287DD30-8DC6-480A-9AA4-D1B38AF26EDE}">
  <ds:schemaRefs>
    <ds:schemaRef ds:uri="http://schemas.microsoft.com/sharepoint/v3/contenttype/forms"/>
  </ds:schemaRefs>
</ds:datastoreItem>
</file>

<file path=customXml/itemProps4.xml><?xml version="1.0" encoding="utf-8"?>
<ds:datastoreItem xmlns:ds="http://schemas.openxmlformats.org/officeDocument/2006/customXml" ds:itemID="{5952DB16-FC6C-4596-8E1C-0EBF15F8AC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4c7651b-79aa-46e9-9e51-20e869a47650"/>
    <ds:schemaRef ds:uri="6ddc5d13-6313-43d5-bc20-9640f2d82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406</TotalTime>
  <Application>LibreOffice/7.6.2.1$Windows_X86_64 LibreOffice_project/56f7684011345957bbf33a7ee678afaf4d2ba333</Application>
  <AppVersion>15.0000</AppVersion>
  <Pages>15</Pages>
  <Words>4805</Words>
  <Characters>26881</Characters>
  <CharactersWithSpaces>31501</CharactersWithSpaces>
  <Paragraphs>168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2024-06-06T14:21:00Z</dcterms:created>
  <dc:creator>helder souza</dc:creator>
  <dc:description/>
  <dc:language>pt-BR</dc:language>
  <cp:lastModifiedBy/>
  <cp:lastPrinted>2024-06-19T10:34:44Z</cp:lastPrinted>
  <dcterms:modified xsi:type="dcterms:W3CDTF">2024-06-20T13:38:58Z</dcterms:modified>
  <cp:revision>48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0x0101009CF5165B0011694BB1EA9D2E918CCA88</vt:lpwstr>
  </property>
</Properties>
</file>